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F7DFB">
      <w:pPr>
        <w:tabs>
          <w:tab w:val="left" w:pos="420"/>
          <w:tab w:val="left" w:pos="6660"/>
        </w:tabs>
        <w:spacing w:line="324" w:lineRule="auto"/>
        <w:jc w:val="right"/>
        <w:rPr>
          <w:rFonts w:ascii="宋体" w:hAnsi="宋体"/>
          <w:b/>
          <w:sz w:val="28"/>
          <w:szCs w:val="28"/>
        </w:rPr>
      </w:pPr>
    </w:p>
    <w:p w14:paraId="3BCD7404">
      <w:pPr>
        <w:tabs>
          <w:tab w:val="left" w:pos="420"/>
          <w:tab w:val="left" w:pos="6660"/>
        </w:tabs>
        <w:spacing w:line="324" w:lineRule="auto"/>
        <w:jc w:val="center"/>
        <w:rPr>
          <w:rFonts w:ascii="宋体" w:hAnsi="宋体"/>
          <w:b/>
          <w:sz w:val="52"/>
          <w:szCs w:val="52"/>
        </w:rPr>
      </w:pPr>
    </w:p>
    <w:p w14:paraId="0CF3F228">
      <w:pPr>
        <w:tabs>
          <w:tab w:val="left" w:pos="420"/>
          <w:tab w:val="left" w:pos="6660"/>
        </w:tabs>
        <w:spacing w:line="324" w:lineRule="auto"/>
        <w:jc w:val="center"/>
        <w:rPr>
          <w:rFonts w:ascii="宋体" w:hAnsi="宋体"/>
          <w:b/>
          <w:bCs/>
          <w:sz w:val="50"/>
          <w:szCs w:val="50"/>
        </w:rPr>
      </w:pPr>
      <w:r>
        <w:rPr>
          <w:rFonts w:hint="eastAsia" w:ascii="宋体" w:hAnsi="宋体"/>
          <w:b/>
          <w:bCs/>
          <w:sz w:val="50"/>
          <w:szCs w:val="50"/>
        </w:rPr>
        <w:t>福建省东南电化股份有限公司</w:t>
      </w:r>
    </w:p>
    <w:p w14:paraId="03DDFEF7">
      <w:pPr>
        <w:tabs>
          <w:tab w:val="left" w:pos="420"/>
          <w:tab w:val="left" w:pos="6660"/>
        </w:tabs>
        <w:spacing w:line="324" w:lineRule="auto"/>
        <w:jc w:val="center"/>
        <w:rPr>
          <w:rFonts w:hint="default" w:ascii="宋体" w:hAnsi="宋体"/>
          <w:b/>
          <w:bCs/>
          <w:sz w:val="44"/>
          <w:szCs w:val="44"/>
          <w:lang w:val="en-US" w:eastAsia="zh-CN"/>
        </w:rPr>
      </w:pPr>
      <w:r>
        <w:rPr>
          <w:rFonts w:hint="eastAsia" w:ascii="宋体" w:hAnsi="宋体"/>
          <w:b/>
          <w:bCs/>
          <w:sz w:val="44"/>
          <w:szCs w:val="44"/>
          <w:lang w:val="en-US" w:eastAsia="zh-CN"/>
        </w:rPr>
        <w:t>氯气微量水分析仪</w:t>
      </w:r>
    </w:p>
    <w:p w14:paraId="6C4DEA91">
      <w:pPr>
        <w:tabs>
          <w:tab w:val="left" w:pos="420"/>
          <w:tab w:val="left" w:pos="6660"/>
        </w:tabs>
        <w:spacing w:line="324" w:lineRule="auto"/>
        <w:jc w:val="center"/>
        <w:rPr>
          <w:rFonts w:hint="eastAsia" w:ascii="宋体" w:hAnsi="宋体"/>
          <w:b/>
          <w:bCs/>
          <w:sz w:val="44"/>
          <w:szCs w:val="44"/>
          <w:lang w:val="en-US" w:eastAsia="zh-CN"/>
        </w:rPr>
      </w:pPr>
    </w:p>
    <w:p w14:paraId="2F84A79C">
      <w:pPr>
        <w:tabs>
          <w:tab w:val="left" w:pos="420"/>
          <w:tab w:val="left" w:pos="6660"/>
        </w:tabs>
        <w:spacing w:line="324" w:lineRule="auto"/>
        <w:jc w:val="center"/>
        <w:rPr>
          <w:rFonts w:hint="eastAsia" w:ascii="宋体" w:hAnsi="宋体"/>
          <w:b/>
          <w:bCs/>
          <w:sz w:val="44"/>
          <w:szCs w:val="44"/>
          <w:lang w:val="en-US" w:eastAsia="zh-CN"/>
        </w:rPr>
      </w:pPr>
    </w:p>
    <w:p w14:paraId="74E7D890">
      <w:pPr>
        <w:tabs>
          <w:tab w:val="left" w:pos="420"/>
          <w:tab w:val="left" w:pos="6660"/>
        </w:tabs>
        <w:spacing w:line="324" w:lineRule="auto"/>
        <w:jc w:val="center"/>
        <w:rPr>
          <w:rFonts w:hint="eastAsia" w:ascii="宋体" w:hAnsi="宋体"/>
          <w:b/>
          <w:bCs/>
          <w:sz w:val="44"/>
          <w:szCs w:val="44"/>
          <w:lang w:val="en-US" w:eastAsia="zh-CN"/>
        </w:rPr>
      </w:pPr>
    </w:p>
    <w:p w14:paraId="51E626D5">
      <w:pPr>
        <w:tabs>
          <w:tab w:val="left" w:pos="420"/>
          <w:tab w:val="left" w:pos="6660"/>
        </w:tabs>
        <w:spacing w:line="324" w:lineRule="auto"/>
        <w:jc w:val="center"/>
        <w:rPr>
          <w:rFonts w:hint="default" w:ascii="宋体" w:hAnsi="宋体"/>
          <w:b/>
          <w:bCs/>
          <w:sz w:val="44"/>
          <w:szCs w:val="44"/>
          <w:lang w:val="en-US" w:eastAsia="zh-CN"/>
        </w:rPr>
      </w:pPr>
    </w:p>
    <w:p w14:paraId="3D463AB4">
      <w:pPr>
        <w:tabs>
          <w:tab w:val="left" w:pos="420"/>
          <w:tab w:val="left" w:pos="6660"/>
        </w:tabs>
        <w:spacing w:line="324" w:lineRule="auto"/>
        <w:jc w:val="center"/>
        <w:rPr>
          <w:rFonts w:ascii="宋体" w:hAnsi="宋体"/>
          <w:b/>
          <w:sz w:val="72"/>
          <w:szCs w:val="72"/>
        </w:rPr>
      </w:pPr>
    </w:p>
    <w:p w14:paraId="3B1EE879">
      <w:pPr>
        <w:tabs>
          <w:tab w:val="left" w:pos="420"/>
          <w:tab w:val="left" w:pos="6660"/>
        </w:tabs>
        <w:spacing w:line="324" w:lineRule="auto"/>
        <w:jc w:val="center"/>
        <w:rPr>
          <w:rFonts w:ascii="宋体" w:hAnsi="宋体"/>
          <w:b/>
          <w:sz w:val="72"/>
          <w:szCs w:val="72"/>
        </w:rPr>
      </w:pPr>
    </w:p>
    <w:p w14:paraId="4D41B402">
      <w:pPr>
        <w:spacing w:line="324" w:lineRule="auto"/>
        <w:jc w:val="center"/>
        <w:rPr>
          <w:rFonts w:ascii="宋体" w:hAnsi="宋体"/>
          <w:b/>
          <w:sz w:val="52"/>
          <w:szCs w:val="52"/>
        </w:rPr>
      </w:pPr>
      <w:r>
        <w:rPr>
          <w:rFonts w:hint="eastAsia" w:ascii="宋体" w:hAnsi="宋体"/>
          <w:b/>
          <w:sz w:val="52"/>
          <w:szCs w:val="52"/>
        </w:rPr>
        <w:t>技术规格书</w:t>
      </w:r>
    </w:p>
    <w:p w14:paraId="29DB5A30">
      <w:pPr>
        <w:spacing w:line="324" w:lineRule="auto"/>
        <w:jc w:val="center"/>
        <w:rPr>
          <w:rFonts w:ascii="宋体" w:hAnsi="宋体"/>
          <w:b/>
          <w:bCs/>
          <w:sz w:val="44"/>
          <w:szCs w:val="44"/>
        </w:rPr>
      </w:pPr>
    </w:p>
    <w:p w14:paraId="233C1C4E">
      <w:pPr>
        <w:spacing w:line="324" w:lineRule="auto"/>
        <w:jc w:val="center"/>
        <w:rPr>
          <w:rFonts w:ascii="宋体" w:hAnsi="宋体"/>
          <w:b/>
          <w:bCs/>
          <w:sz w:val="36"/>
          <w:szCs w:val="44"/>
        </w:rPr>
      </w:pPr>
    </w:p>
    <w:p w14:paraId="20A0C7FB">
      <w:pPr>
        <w:spacing w:line="324" w:lineRule="auto"/>
        <w:jc w:val="center"/>
        <w:rPr>
          <w:rFonts w:ascii="宋体" w:hAnsi="宋体"/>
          <w:b/>
          <w:bCs/>
          <w:sz w:val="36"/>
          <w:szCs w:val="44"/>
        </w:rPr>
      </w:pPr>
    </w:p>
    <w:p w14:paraId="19454118">
      <w:pPr>
        <w:spacing w:line="324" w:lineRule="auto"/>
        <w:jc w:val="center"/>
        <w:rPr>
          <w:rFonts w:ascii="宋体" w:hAnsi="宋体"/>
          <w:b/>
          <w:bCs/>
          <w:sz w:val="36"/>
          <w:szCs w:val="44"/>
        </w:rPr>
      </w:pPr>
    </w:p>
    <w:p w14:paraId="44CF0245">
      <w:pPr>
        <w:spacing w:line="324" w:lineRule="auto"/>
        <w:jc w:val="center"/>
        <w:rPr>
          <w:rFonts w:ascii="宋体" w:hAnsi="宋体"/>
          <w:b/>
          <w:bCs/>
          <w:sz w:val="36"/>
          <w:szCs w:val="44"/>
        </w:rPr>
      </w:pPr>
    </w:p>
    <w:p w14:paraId="4117FD98">
      <w:pPr>
        <w:spacing w:line="324" w:lineRule="auto"/>
        <w:rPr>
          <w:rFonts w:ascii="宋体" w:hAnsi="宋体"/>
          <w:b/>
          <w:bCs/>
          <w:sz w:val="36"/>
          <w:szCs w:val="44"/>
        </w:rPr>
      </w:pPr>
    </w:p>
    <w:p w14:paraId="2B6207E3">
      <w:pPr>
        <w:spacing w:line="324" w:lineRule="auto"/>
        <w:jc w:val="center"/>
        <w:rPr>
          <w:rFonts w:ascii="宋体" w:hAnsi="宋体"/>
          <w:b/>
          <w:bCs/>
          <w:sz w:val="36"/>
          <w:szCs w:val="44"/>
        </w:rPr>
      </w:pPr>
      <w:r>
        <w:rPr>
          <w:rFonts w:hint="eastAsia" w:ascii="宋体" w:hAnsi="宋体"/>
          <w:b/>
          <w:bCs/>
          <w:sz w:val="36"/>
          <w:szCs w:val="44"/>
        </w:rPr>
        <w:t xml:space="preserve">    </w:t>
      </w:r>
    </w:p>
    <w:p w14:paraId="3E412937">
      <w:pPr>
        <w:spacing w:line="324" w:lineRule="auto"/>
        <w:jc w:val="center"/>
        <w:rPr>
          <w:rFonts w:ascii="宋体" w:hAnsi="宋体"/>
          <w:b/>
          <w:bCs/>
          <w:sz w:val="32"/>
          <w:szCs w:val="32"/>
        </w:rPr>
      </w:pPr>
      <w:r>
        <w:rPr>
          <w:rFonts w:hint="eastAsia" w:ascii="宋体" w:hAnsi="宋体"/>
          <w:b/>
          <w:bCs/>
          <w:sz w:val="32"/>
          <w:szCs w:val="32"/>
        </w:rPr>
        <w:t>福建省东南电化股份有限公司编制</w:t>
      </w:r>
    </w:p>
    <w:p w14:paraId="6CC37631">
      <w:pPr>
        <w:spacing w:line="324" w:lineRule="auto"/>
        <w:jc w:val="center"/>
        <w:rPr>
          <w:rFonts w:ascii="宋体" w:hAnsi="宋体"/>
          <w:b/>
          <w:bCs/>
          <w:sz w:val="32"/>
          <w:szCs w:val="32"/>
          <w:u w:val="single"/>
        </w:rPr>
      </w:pPr>
      <w:r>
        <w:rPr>
          <w:rFonts w:hint="eastAsia" w:ascii="宋体" w:hAnsi="宋体"/>
          <w:b/>
          <w:bCs/>
          <w:sz w:val="32"/>
          <w:szCs w:val="32"/>
          <w:u w:val="single"/>
        </w:rPr>
        <w:t>202</w:t>
      </w:r>
      <w:r>
        <w:rPr>
          <w:rFonts w:hint="eastAsia" w:ascii="宋体" w:hAnsi="宋体"/>
          <w:b/>
          <w:bCs/>
          <w:sz w:val="32"/>
          <w:szCs w:val="32"/>
          <w:u w:val="single"/>
          <w:lang w:val="en-US" w:eastAsia="zh-CN"/>
        </w:rPr>
        <w:t>6</w:t>
      </w:r>
      <w:r>
        <w:rPr>
          <w:rFonts w:hint="eastAsia" w:ascii="宋体" w:hAnsi="宋体"/>
          <w:b/>
          <w:bCs/>
          <w:sz w:val="32"/>
          <w:szCs w:val="32"/>
          <w:u w:val="single"/>
        </w:rPr>
        <w:t>年</w:t>
      </w:r>
      <w:r>
        <w:rPr>
          <w:rFonts w:hint="eastAsia" w:ascii="宋体" w:hAnsi="宋体"/>
          <w:b/>
          <w:bCs/>
          <w:sz w:val="32"/>
          <w:szCs w:val="32"/>
          <w:u w:val="single"/>
          <w:lang w:val="en-US" w:eastAsia="zh-CN"/>
        </w:rPr>
        <w:t>8</w:t>
      </w:r>
      <w:r>
        <w:rPr>
          <w:rFonts w:hint="eastAsia" w:ascii="宋体" w:hAnsi="宋体"/>
          <w:b/>
          <w:bCs/>
          <w:sz w:val="32"/>
          <w:szCs w:val="32"/>
          <w:u w:val="single"/>
        </w:rPr>
        <w:t xml:space="preserve">月 </w:t>
      </w:r>
    </w:p>
    <w:p w14:paraId="6363F2C4">
      <w:pPr>
        <w:ind w:left="-4" w:leftChars="-2"/>
        <w:rPr>
          <w:rFonts w:ascii="宋体" w:hAnsi="宋体" w:cs="宋体"/>
          <w:b/>
          <w:sz w:val="28"/>
          <w:szCs w:val="28"/>
        </w:rPr>
      </w:pPr>
      <w:r>
        <w:rPr>
          <w:rFonts w:hint="eastAsia" w:ascii="宋体" w:hAnsi="宋体" w:cs="宋体"/>
          <w:b/>
          <w:sz w:val="28"/>
          <w:szCs w:val="28"/>
        </w:rPr>
        <w:t>1、总则</w:t>
      </w:r>
    </w:p>
    <w:p w14:paraId="0C6532DB">
      <w:pPr>
        <w:spacing w:line="360" w:lineRule="auto"/>
        <w:ind w:left="-17" w:leftChars="-8" w:firstLine="14" w:firstLineChars="6"/>
        <w:rPr>
          <w:sz w:val="24"/>
        </w:rPr>
      </w:pPr>
      <w:r>
        <w:rPr>
          <w:rFonts w:hint="eastAsia"/>
          <w:sz w:val="24"/>
        </w:rPr>
        <w:t>本技术规格书适用于福建省东南电化股份有限公司</w:t>
      </w:r>
      <w:r>
        <w:rPr>
          <w:rFonts w:hint="eastAsia"/>
          <w:sz w:val="24"/>
          <w:lang w:val="en-US" w:eastAsia="zh-CN"/>
        </w:rPr>
        <w:t>氯气微量水分析仪</w:t>
      </w:r>
      <w:r>
        <w:rPr>
          <w:rFonts w:hint="eastAsia"/>
          <w:sz w:val="24"/>
        </w:rPr>
        <w:t>采购的设计文件和技术要求。</w:t>
      </w:r>
    </w:p>
    <w:p w14:paraId="215CB362">
      <w:pPr>
        <w:spacing w:line="360" w:lineRule="auto"/>
        <w:ind w:left="-17" w:leftChars="-8" w:firstLine="14" w:firstLineChars="6"/>
        <w:rPr>
          <w:sz w:val="24"/>
        </w:rPr>
      </w:pPr>
      <w:r>
        <w:rPr>
          <w:rFonts w:hint="eastAsia"/>
          <w:sz w:val="24"/>
        </w:rPr>
        <w:t>1.1 本规格书提出的是最低限度的技术要求，并未规定所有的技术要求和适用标准，投标方应提供一套满足本规范和所列标准要求的高质量产品及相应服务，</w:t>
      </w:r>
      <w:r>
        <w:rPr>
          <w:rFonts w:hAnsi="宋体"/>
          <w:sz w:val="24"/>
        </w:rPr>
        <w:t>技术规格书和数据表中的任何疏漏不应成为供货商提供不合格产品的借口。</w:t>
      </w:r>
      <w:r>
        <w:rPr>
          <w:rFonts w:hint="eastAsia"/>
          <w:sz w:val="24"/>
        </w:rPr>
        <w:t>所提供的产品应是技术上成熟先进的产品；所有的产品必须是全新的，招标方不接受修复的产品；所有产品不得转包或贴牌。</w:t>
      </w:r>
    </w:p>
    <w:p w14:paraId="7C5A7670">
      <w:pPr>
        <w:spacing w:line="360" w:lineRule="auto"/>
        <w:ind w:left="-17" w:leftChars="-8" w:firstLine="14" w:firstLineChars="6"/>
        <w:rPr>
          <w:color w:val="FF0000"/>
          <w:sz w:val="24"/>
        </w:rPr>
      </w:pPr>
      <w:r>
        <w:rPr>
          <w:rFonts w:hint="eastAsia"/>
          <w:sz w:val="24"/>
        </w:rPr>
        <w:t>1.2 如果投标方未以书面形式对本规格书提出异议，则意味着投标方提供的在线分析仪满足了本规格书和有关工业标准的要求。如有异议，不管多么微小，都应在投标书中以“技术偏离表”为标题的专门章节中加以详细表明。</w:t>
      </w:r>
    </w:p>
    <w:p w14:paraId="357E9D9A">
      <w:pPr>
        <w:spacing w:line="360" w:lineRule="auto"/>
        <w:ind w:left="-17" w:leftChars="-8" w:firstLine="14" w:firstLineChars="6"/>
        <w:rPr>
          <w:sz w:val="24"/>
        </w:rPr>
      </w:pPr>
      <w:r>
        <w:rPr>
          <w:rFonts w:hint="eastAsia"/>
          <w:sz w:val="24"/>
        </w:rPr>
        <w:t>1.3 本规格书所使用的标准如遇与投标方所执行的标准发生矛盾时，按较高标准执行。对国家有关安全、环保等强制性标准，必须满足其要求</w:t>
      </w:r>
      <w:r>
        <w:rPr>
          <w:sz w:val="24"/>
        </w:rPr>
        <w:t>，选型错误由</w:t>
      </w:r>
      <w:r>
        <w:rPr>
          <w:rFonts w:hint="eastAsia"/>
          <w:sz w:val="24"/>
        </w:rPr>
        <w:t>投标</w:t>
      </w:r>
      <w:r>
        <w:rPr>
          <w:sz w:val="24"/>
        </w:rPr>
        <w:t>方负责</w:t>
      </w:r>
      <w:r>
        <w:rPr>
          <w:rFonts w:hint="eastAsia"/>
          <w:sz w:val="24"/>
        </w:rPr>
        <w:t>。</w:t>
      </w:r>
    </w:p>
    <w:p w14:paraId="5570DA9C">
      <w:pPr>
        <w:spacing w:line="360" w:lineRule="auto"/>
        <w:ind w:left="-17" w:leftChars="-8" w:firstLine="14" w:firstLineChars="6"/>
        <w:rPr>
          <w:sz w:val="24"/>
        </w:rPr>
      </w:pPr>
      <w:r>
        <w:rPr>
          <w:rFonts w:hint="eastAsia"/>
          <w:sz w:val="24"/>
        </w:rPr>
        <w:t>1.4 只有招标方有权修改本规格书。经买卖双方协商，最终确定的技术协议应作为合同的一个附件，并与合同文件有相同的法律效力。</w:t>
      </w:r>
    </w:p>
    <w:p w14:paraId="657F7F51">
      <w:pPr>
        <w:spacing w:line="360" w:lineRule="auto"/>
        <w:ind w:left="-17" w:leftChars="-8" w:firstLine="14" w:firstLineChars="6"/>
        <w:rPr>
          <w:sz w:val="24"/>
        </w:rPr>
      </w:pPr>
      <w:r>
        <w:rPr>
          <w:rFonts w:hint="eastAsia"/>
          <w:sz w:val="24"/>
        </w:rPr>
        <w:t>1.5 在签订合同后，招标方有权提出因标准、规范和规程发生变化而产生的一些修订要求，具体事宜由双发共同协商确定。</w:t>
      </w:r>
    </w:p>
    <w:p w14:paraId="0728D207">
      <w:pPr>
        <w:tabs>
          <w:tab w:val="left" w:pos="0"/>
        </w:tabs>
        <w:spacing w:line="360" w:lineRule="auto"/>
        <w:rPr>
          <w:sz w:val="24"/>
        </w:rPr>
      </w:pPr>
      <w:r>
        <w:rPr>
          <w:rFonts w:hint="eastAsia"/>
          <w:sz w:val="24"/>
          <w:highlight w:val="yellow"/>
        </w:rPr>
        <w:t>1.6供货商提供的产品在国内必须有3个及以上连续稳定运行5年以上的同型号同应用点业绩</w:t>
      </w:r>
      <w:r>
        <w:rPr>
          <w:rFonts w:hint="eastAsia"/>
          <w:sz w:val="24"/>
          <w:highlight w:val="yellow"/>
          <w:lang w:eastAsia="zh-CN"/>
        </w:rPr>
        <w:t>，</w:t>
      </w:r>
      <w:r>
        <w:rPr>
          <w:rFonts w:hint="eastAsia"/>
          <w:sz w:val="24"/>
          <w:highlight w:val="yellow"/>
        </w:rPr>
        <w:t>提供对应的合同、联系人、联系方式以供甲方考察。</w:t>
      </w:r>
    </w:p>
    <w:p w14:paraId="3DC44949">
      <w:pPr>
        <w:tabs>
          <w:tab w:val="left" w:pos="0"/>
        </w:tabs>
        <w:rPr>
          <w:rFonts w:ascii="宋体" w:hAnsi="宋体" w:cs="宋体"/>
          <w:sz w:val="24"/>
        </w:rPr>
      </w:pPr>
      <w:r>
        <w:rPr>
          <w:rFonts w:hint="eastAsia" w:ascii="宋体" w:hAnsi="宋体" w:cs="宋体"/>
          <w:sz w:val="24"/>
        </w:rPr>
        <w:t>2、总体要求</w:t>
      </w:r>
    </w:p>
    <w:p w14:paraId="6A38A8C8">
      <w:pPr>
        <w:tabs>
          <w:tab w:val="left" w:pos="0"/>
        </w:tabs>
        <w:spacing w:line="360" w:lineRule="auto"/>
        <w:rPr>
          <w:sz w:val="24"/>
        </w:rPr>
      </w:pPr>
      <w:r>
        <w:rPr>
          <w:rFonts w:hint="eastAsia"/>
          <w:sz w:val="24"/>
          <w:highlight w:val="yellow"/>
        </w:rPr>
        <w:t>2.1供应商所供产品须为防爆产品，防爆型式为正压，防爆等级不低于IIC T5，且具有本质安全型光辐射防爆认证（防爆认证标识为op is），提供许可范围内认证机构的防爆认证证书，包括：国家级仪器仪表防爆安全监督检验站（NEPSI）、国家防爆电气产品质量监督检验中心（CQST）。</w:t>
      </w:r>
    </w:p>
    <w:p w14:paraId="4BDA2F70">
      <w:pPr>
        <w:tabs>
          <w:tab w:val="left" w:pos="0"/>
        </w:tabs>
        <w:spacing w:line="360" w:lineRule="auto"/>
        <w:rPr>
          <w:sz w:val="24"/>
        </w:rPr>
      </w:pPr>
      <w:r>
        <w:rPr>
          <w:rFonts w:hint="eastAsia"/>
          <w:sz w:val="24"/>
        </w:rPr>
        <w:t>2.2供应商所供产品必须经过IEC60825-1激光安全等级认证（认证等级为Class1），须提供认证报告。</w:t>
      </w:r>
    </w:p>
    <w:p w14:paraId="6B1CEA08">
      <w:pPr>
        <w:numPr>
          <w:ilvl w:val="0"/>
          <w:numId w:val="1"/>
        </w:numPr>
        <w:spacing w:line="360" w:lineRule="auto"/>
        <w:ind w:left="-4" w:leftChars="-2"/>
        <w:rPr>
          <w:rFonts w:ascii="宋体" w:hAnsi="宋体" w:cs="宋体"/>
          <w:sz w:val="24"/>
        </w:rPr>
      </w:pPr>
      <w:r>
        <w:rPr>
          <w:rFonts w:hint="eastAsia" w:ascii="宋体" w:hAnsi="宋体" w:cs="宋体"/>
          <w:sz w:val="24"/>
        </w:rPr>
        <w:t>主要技术参数：</w:t>
      </w:r>
    </w:p>
    <w:p w14:paraId="787B1F86">
      <w:pPr>
        <w:spacing w:line="360" w:lineRule="auto"/>
        <w:rPr>
          <w:rFonts w:ascii="宋体" w:hAnsi="宋体" w:cs="宋体"/>
          <w:sz w:val="24"/>
        </w:rPr>
      </w:pPr>
      <w:r>
        <w:rPr>
          <w:rFonts w:hint="eastAsia" w:ascii="宋体" w:hAnsi="宋体" w:cs="宋体"/>
          <w:sz w:val="24"/>
        </w:rPr>
        <w:t>3.1 测量介质：氯气含微量水。</w:t>
      </w:r>
    </w:p>
    <w:p w14:paraId="6FA2A93B">
      <w:pPr>
        <w:spacing w:line="360" w:lineRule="auto"/>
        <w:rPr>
          <w:rFonts w:ascii="宋体" w:hAnsi="宋体" w:cs="宋体"/>
          <w:sz w:val="24"/>
        </w:rPr>
      </w:pPr>
      <w:r>
        <w:rPr>
          <w:rFonts w:hint="eastAsia" w:ascii="宋体" w:hAnsi="宋体" w:cs="宋体"/>
          <w:sz w:val="24"/>
        </w:rPr>
        <w:t>3.2测量量程：水0～300ppm。</w:t>
      </w:r>
    </w:p>
    <w:p w14:paraId="425D0C54">
      <w:pPr>
        <w:spacing w:line="360" w:lineRule="auto"/>
        <w:rPr>
          <w:rFonts w:ascii="宋体" w:hAnsi="宋体" w:cs="宋体"/>
          <w:sz w:val="24"/>
        </w:rPr>
      </w:pPr>
      <w:r>
        <w:rPr>
          <w:rFonts w:hint="eastAsia" w:ascii="宋体" w:hAnsi="宋体" w:cs="宋体"/>
          <w:sz w:val="24"/>
        </w:rPr>
        <w:t>3.3测量精度：±2%FS。</w:t>
      </w:r>
    </w:p>
    <w:p w14:paraId="0CF110C4">
      <w:pPr>
        <w:spacing w:line="360" w:lineRule="auto"/>
        <w:rPr>
          <w:rFonts w:ascii="宋体" w:hAnsi="宋体" w:cs="宋体"/>
          <w:sz w:val="24"/>
        </w:rPr>
      </w:pPr>
      <w:r>
        <w:rPr>
          <w:rFonts w:hint="eastAsia" w:ascii="宋体" w:hAnsi="宋体" w:cs="宋体"/>
          <w:sz w:val="24"/>
        </w:rPr>
        <w:t>3.4稳定性：±1％F.S/6个月。</w:t>
      </w:r>
    </w:p>
    <w:p w14:paraId="5A5C21BF">
      <w:pPr>
        <w:spacing w:line="360" w:lineRule="auto"/>
        <w:rPr>
          <w:rFonts w:ascii="宋体" w:hAnsi="宋体" w:cs="宋体"/>
          <w:sz w:val="24"/>
        </w:rPr>
      </w:pPr>
      <w:r>
        <w:rPr>
          <w:rFonts w:hint="eastAsia" w:ascii="宋体" w:hAnsi="宋体" w:cs="宋体"/>
          <w:sz w:val="24"/>
        </w:rPr>
        <w:t>3.5 响应时间：&lt;60s。</w:t>
      </w:r>
    </w:p>
    <w:p w14:paraId="2CD4935E">
      <w:pPr>
        <w:spacing w:line="360" w:lineRule="auto"/>
        <w:rPr>
          <w:rFonts w:ascii="宋体" w:hAnsi="宋体" w:cs="宋体"/>
          <w:sz w:val="24"/>
        </w:rPr>
      </w:pPr>
      <w:r>
        <w:rPr>
          <w:rFonts w:hint="eastAsia" w:ascii="宋体" w:hAnsi="宋体" w:cs="宋体"/>
          <w:sz w:val="24"/>
        </w:rPr>
        <w:t>3.6 输出信号：4～20mADC。</w:t>
      </w:r>
    </w:p>
    <w:p w14:paraId="5A8AEC9C">
      <w:pPr>
        <w:spacing w:line="360" w:lineRule="auto"/>
        <w:rPr>
          <w:rFonts w:ascii="宋体" w:hAnsi="宋体" w:cs="宋体"/>
          <w:sz w:val="24"/>
        </w:rPr>
      </w:pPr>
      <w:r>
        <w:rPr>
          <w:rFonts w:hint="eastAsia" w:ascii="宋体" w:hAnsi="宋体" w:cs="宋体"/>
          <w:sz w:val="24"/>
        </w:rPr>
        <w:t>3.7 供电电源：220VAC，50Hz。</w:t>
      </w:r>
    </w:p>
    <w:p w14:paraId="1BBD010A">
      <w:pPr>
        <w:spacing w:line="360" w:lineRule="auto"/>
        <w:rPr>
          <w:rFonts w:ascii="宋体" w:hAnsi="宋体" w:cs="宋体"/>
          <w:sz w:val="24"/>
        </w:rPr>
      </w:pPr>
      <w:r>
        <w:rPr>
          <w:rFonts w:hint="eastAsia" w:ascii="宋体" w:hAnsi="宋体" w:cs="宋体"/>
          <w:sz w:val="24"/>
        </w:rPr>
        <w:t>3.8防爆等级：不低于Ex px IICT5 Gb。</w:t>
      </w:r>
    </w:p>
    <w:p w14:paraId="4436B3CD">
      <w:pPr>
        <w:spacing w:line="360" w:lineRule="auto"/>
        <w:rPr>
          <w:rFonts w:ascii="宋体" w:hAnsi="宋体" w:cs="宋体"/>
          <w:sz w:val="24"/>
        </w:rPr>
      </w:pPr>
      <w:r>
        <w:rPr>
          <w:rFonts w:hint="eastAsia" w:ascii="宋体" w:hAnsi="宋体" w:cs="宋体"/>
          <w:sz w:val="24"/>
        </w:rPr>
        <w:t>3.9防护等级：不低于IP65。</w:t>
      </w:r>
    </w:p>
    <w:p w14:paraId="4CBB1F81">
      <w:pPr>
        <w:spacing w:line="360" w:lineRule="auto"/>
        <w:rPr>
          <w:rFonts w:ascii="宋体" w:hAnsi="宋体" w:cs="宋体"/>
          <w:sz w:val="24"/>
        </w:rPr>
      </w:pPr>
      <w:r>
        <w:rPr>
          <w:rFonts w:hint="eastAsia" w:ascii="宋体" w:hAnsi="宋体" w:cs="宋体"/>
          <w:sz w:val="24"/>
        </w:rPr>
        <w:t>4、 样品处理系统：</w:t>
      </w:r>
    </w:p>
    <w:p w14:paraId="24FB7097">
      <w:pPr>
        <w:spacing w:line="360" w:lineRule="auto"/>
        <w:rPr>
          <w:rFonts w:ascii="宋体" w:hAnsi="宋体" w:cs="宋体"/>
          <w:sz w:val="24"/>
        </w:rPr>
      </w:pPr>
      <w:r>
        <w:rPr>
          <w:rFonts w:hint="eastAsia" w:ascii="宋体" w:hAnsi="宋体" w:cs="宋体"/>
          <w:sz w:val="24"/>
        </w:rPr>
        <w:t>4.1由于工艺管道中的氯气具有较强的腐蚀性，样品处理系统设计时必须充分考虑载送气体管线、器件、接头等的耐腐性能。</w:t>
      </w:r>
    </w:p>
    <w:p w14:paraId="07271C07">
      <w:pPr>
        <w:spacing w:line="360" w:lineRule="auto"/>
        <w:rPr>
          <w:rFonts w:ascii="宋体" w:hAnsi="宋体" w:cs="宋体"/>
          <w:sz w:val="24"/>
        </w:rPr>
      </w:pPr>
      <w:r>
        <w:rPr>
          <w:rFonts w:hint="eastAsia" w:ascii="宋体" w:hAnsi="宋体" w:cs="宋体"/>
          <w:sz w:val="24"/>
        </w:rPr>
        <w:t>4.2为保证分析系统的长周期稳定运行，所有管线均应采用防腐材质，与样气接触管路部件选择哈C耐酸腐蚀材质的产品，保证在含水氯气条件下长期工作，稳定可靠。</w:t>
      </w:r>
    </w:p>
    <w:p w14:paraId="433789B6">
      <w:pPr>
        <w:spacing w:line="360" w:lineRule="auto"/>
        <w:rPr>
          <w:rFonts w:ascii="宋体" w:hAnsi="宋体" w:cs="宋体"/>
          <w:sz w:val="24"/>
        </w:rPr>
      </w:pPr>
      <w:r>
        <w:rPr>
          <w:rFonts w:hint="eastAsia" w:ascii="宋体" w:hAnsi="宋体" w:cs="宋体"/>
          <w:sz w:val="24"/>
        </w:rPr>
        <w:t>4.3系统应具备温度和压力自动修正功能，能根据实际测量得到的被测气体温度和压力对气体成分测量值进行自动修正。</w:t>
      </w:r>
    </w:p>
    <w:p w14:paraId="4D5185EA">
      <w:pPr>
        <w:spacing w:line="360" w:lineRule="auto"/>
        <w:rPr>
          <w:rFonts w:ascii="宋体" w:hAnsi="宋体" w:cs="宋体"/>
          <w:sz w:val="24"/>
        </w:rPr>
      </w:pPr>
      <w:r>
        <w:rPr>
          <w:rFonts w:hint="eastAsia" w:ascii="宋体" w:hAnsi="宋体" w:cs="宋体"/>
          <w:sz w:val="24"/>
        </w:rPr>
        <w:t>5分析仪表基本要求</w:t>
      </w:r>
    </w:p>
    <w:p w14:paraId="7D11EFD9">
      <w:pPr>
        <w:rPr>
          <w:rFonts w:ascii="宋体" w:hAnsi="宋体" w:cs="宋体"/>
          <w:bCs/>
          <w:sz w:val="24"/>
        </w:rPr>
      </w:pPr>
      <w:r>
        <w:rPr>
          <w:rFonts w:hint="eastAsia" w:ascii="宋体" w:hAnsi="宋体" w:cs="宋体"/>
          <w:bCs/>
          <w:sz w:val="24"/>
        </w:rPr>
        <w:t>5.1供货清单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ECC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FC33B99">
            <w:pPr>
              <w:jc w:val="center"/>
              <w:rPr>
                <w:rFonts w:ascii="宋体" w:hAnsi="宋体" w:cs="宋体"/>
                <w:b/>
                <w:sz w:val="24"/>
              </w:rPr>
            </w:pPr>
            <w:r>
              <w:rPr>
                <w:rFonts w:hint="eastAsia" w:ascii="宋体" w:hAnsi="宋体" w:cs="宋体"/>
                <w:b/>
                <w:sz w:val="24"/>
              </w:rPr>
              <w:t>名称</w:t>
            </w:r>
          </w:p>
        </w:tc>
        <w:tc>
          <w:tcPr>
            <w:tcW w:w="4261" w:type="dxa"/>
          </w:tcPr>
          <w:p w14:paraId="72CAB2BF">
            <w:pPr>
              <w:jc w:val="center"/>
              <w:rPr>
                <w:rFonts w:ascii="宋体" w:hAnsi="宋体" w:cs="宋体"/>
                <w:b/>
                <w:sz w:val="24"/>
              </w:rPr>
            </w:pPr>
            <w:r>
              <w:rPr>
                <w:rFonts w:hint="eastAsia" w:ascii="宋体" w:hAnsi="宋体" w:cs="宋体"/>
                <w:b/>
                <w:sz w:val="24"/>
              </w:rPr>
              <w:t>台数</w:t>
            </w:r>
          </w:p>
        </w:tc>
      </w:tr>
      <w:tr w14:paraId="21BB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D314E2C">
            <w:pPr>
              <w:rPr>
                <w:rFonts w:ascii="宋体" w:hAnsi="宋体" w:cs="宋体"/>
                <w:sz w:val="24"/>
              </w:rPr>
            </w:pPr>
            <w:r>
              <w:rPr>
                <w:rFonts w:hint="eastAsia" w:ascii="宋体" w:hAnsi="宋体" w:cs="宋体"/>
                <w:sz w:val="24"/>
                <w:lang w:val="en-US" w:eastAsia="zh-CN"/>
              </w:rPr>
              <w:t>一、氯气含水在线</w:t>
            </w:r>
            <w:r>
              <w:rPr>
                <w:rFonts w:hint="eastAsia" w:ascii="宋体" w:hAnsi="宋体" w:cs="宋体"/>
                <w:sz w:val="24"/>
              </w:rPr>
              <w:t>分析仪</w:t>
            </w:r>
            <w:r>
              <w:rPr>
                <w:rFonts w:hint="eastAsia" w:ascii="宋体" w:hAnsi="宋体" w:cs="宋体"/>
                <w:sz w:val="24"/>
              </w:rPr>
              <w:br w:type="textWrapping"/>
            </w:r>
          </w:p>
        </w:tc>
        <w:tc>
          <w:tcPr>
            <w:tcW w:w="4261" w:type="dxa"/>
          </w:tcPr>
          <w:p w14:paraId="2668EEF5">
            <w:pPr>
              <w:jc w:val="center"/>
              <w:rPr>
                <w:rFonts w:hint="eastAsia" w:ascii="宋体" w:hAnsi="宋体" w:eastAsia="宋体" w:cs="宋体"/>
                <w:bCs/>
                <w:sz w:val="24"/>
                <w:lang w:eastAsia="zh-CN"/>
              </w:rPr>
            </w:pPr>
            <w:r>
              <w:rPr>
                <w:rFonts w:hint="eastAsia" w:ascii="宋体" w:hAnsi="宋体" w:cs="宋体"/>
                <w:bCs/>
                <w:sz w:val="24"/>
                <w:lang w:val="en-US" w:eastAsia="zh-CN"/>
              </w:rPr>
              <w:t>4</w:t>
            </w:r>
          </w:p>
        </w:tc>
      </w:tr>
      <w:tr w14:paraId="747E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2737A1B">
            <w:pPr>
              <w:rPr>
                <w:rFonts w:ascii="宋体" w:hAnsi="宋体" w:cs="宋体"/>
                <w:sz w:val="24"/>
              </w:rPr>
            </w:pPr>
            <w:r>
              <w:rPr>
                <w:rFonts w:hint="eastAsia" w:ascii="宋体" w:hAnsi="宋体" w:cs="宋体"/>
                <w:sz w:val="24"/>
                <w:lang w:val="en-US" w:eastAsia="zh-CN"/>
              </w:rPr>
              <w:t>1.1</w:t>
            </w:r>
            <w:r>
              <w:rPr>
                <w:rFonts w:hint="eastAsia" w:ascii="宋体" w:hAnsi="宋体" w:cs="宋体"/>
                <w:sz w:val="24"/>
              </w:rPr>
              <w:t>样品处理系统</w:t>
            </w:r>
          </w:p>
        </w:tc>
        <w:tc>
          <w:tcPr>
            <w:tcW w:w="4261" w:type="dxa"/>
          </w:tcPr>
          <w:p w14:paraId="0D19B82B">
            <w:pPr>
              <w:jc w:val="center"/>
              <w:rPr>
                <w:rFonts w:hint="eastAsia" w:ascii="宋体" w:hAnsi="宋体" w:eastAsia="宋体" w:cs="宋体"/>
                <w:bCs/>
                <w:sz w:val="24"/>
                <w:lang w:eastAsia="zh-CN"/>
              </w:rPr>
            </w:pPr>
            <w:r>
              <w:rPr>
                <w:rFonts w:hint="eastAsia" w:ascii="宋体" w:hAnsi="宋体" w:cs="宋体"/>
                <w:bCs/>
                <w:sz w:val="24"/>
                <w:lang w:val="en-US" w:eastAsia="zh-CN"/>
              </w:rPr>
              <w:t>4</w:t>
            </w:r>
          </w:p>
        </w:tc>
      </w:tr>
      <w:tr w14:paraId="795E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tcPr>
          <w:p w14:paraId="730E10FC">
            <w:pPr>
              <w:rPr>
                <w:rFonts w:ascii="宋体" w:hAnsi="宋体" w:cs="宋体"/>
                <w:sz w:val="24"/>
              </w:rPr>
            </w:pPr>
            <w:r>
              <w:rPr>
                <w:rFonts w:hint="eastAsia" w:ascii="宋体" w:hAnsi="宋体" w:cs="宋体"/>
                <w:sz w:val="24"/>
                <w:lang w:val="en-US" w:eastAsia="zh-CN"/>
              </w:rPr>
              <w:t>1.2</w:t>
            </w:r>
            <w:r>
              <w:rPr>
                <w:rFonts w:hint="eastAsia" w:ascii="宋体" w:hAnsi="宋体" w:cs="宋体"/>
                <w:sz w:val="24"/>
              </w:rPr>
              <w:t>器件</w:t>
            </w:r>
          </w:p>
        </w:tc>
        <w:tc>
          <w:tcPr>
            <w:tcW w:w="4261" w:type="dxa"/>
            <w:shd w:val="clear" w:color="auto" w:fill="auto"/>
          </w:tcPr>
          <w:p w14:paraId="1DB6E0D5">
            <w:pPr>
              <w:rPr>
                <w:rFonts w:ascii="宋体" w:hAnsi="宋体" w:cs="宋体"/>
                <w:sz w:val="24"/>
              </w:rPr>
            </w:pPr>
            <w:r>
              <w:rPr>
                <w:rFonts w:hint="eastAsia" w:ascii="宋体" w:hAnsi="宋体" w:cs="宋体"/>
                <w:sz w:val="24"/>
              </w:rPr>
              <w:t>材质</w:t>
            </w:r>
          </w:p>
        </w:tc>
      </w:tr>
      <w:tr w14:paraId="00AE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6B4C86D3">
            <w:pPr>
              <w:rPr>
                <w:rFonts w:ascii="宋体" w:hAnsi="宋体" w:cs="宋体"/>
                <w:sz w:val="24"/>
              </w:rPr>
            </w:pPr>
            <w:r>
              <w:rPr>
                <w:rFonts w:hint="eastAsia" w:ascii="宋体" w:hAnsi="宋体" w:cs="宋体"/>
                <w:sz w:val="24"/>
                <w:lang w:val="en-US" w:eastAsia="zh-CN"/>
              </w:rPr>
              <w:t>1.3</w:t>
            </w:r>
            <w:r>
              <w:rPr>
                <w:rFonts w:hint="eastAsia" w:ascii="宋体" w:hAnsi="宋体" w:cs="宋体"/>
                <w:sz w:val="24"/>
              </w:rPr>
              <w:t>两通球阀</w:t>
            </w:r>
          </w:p>
        </w:tc>
        <w:tc>
          <w:tcPr>
            <w:tcW w:w="0" w:type="auto"/>
            <w:shd w:val="clear" w:color="auto" w:fill="auto"/>
          </w:tcPr>
          <w:p w14:paraId="0B4FA952">
            <w:pPr>
              <w:rPr>
                <w:rFonts w:ascii="宋体" w:hAnsi="宋体" w:cs="宋体"/>
                <w:sz w:val="24"/>
              </w:rPr>
            </w:pPr>
            <w:r>
              <w:rPr>
                <w:rFonts w:hint="eastAsia" w:ascii="宋体" w:hAnsi="宋体" w:cs="宋体"/>
                <w:sz w:val="24"/>
              </w:rPr>
              <w:t>哈C-276</w:t>
            </w:r>
          </w:p>
        </w:tc>
      </w:tr>
      <w:tr w14:paraId="0F93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2A267E13">
            <w:pPr>
              <w:rPr>
                <w:rFonts w:ascii="宋体" w:hAnsi="宋体" w:cs="宋体"/>
                <w:sz w:val="24"/>
              </w:rPr>
            </w:pPr>
            <w:r>
              <w:rPr>
                <w:rFonts w:hint="eastAsia" w:ascii="宋体" w:hAnsi="宋体" w:cs="宋体"/>
                <w:sz w:val="24"/>
                <w:lang w:val="en-US" w:eastAsia="zh-CN"/>
              </w:rPr>
              <w:t>1.4</w:t>
            </w:r>
            <w:r>
              <w:rPr>
                <w:rFonts w:hint="eastAsia" w:ascii="宋体" w:hAnsi="宋体" w:cs="宋体"/>
                <w:sz w:val="24"/>
              </w:rPr>
              <w:t>针阀</w:t>
            </w:r>
          </w:p>
        </w:tc>
        <w:tc>
          <w:tcPr>
            <w:tcW w:w="0" w:type="auto"/>
            <w:shd w:val="clear" w:color="auto" w:fill="auto"/>
          </w:tcPr>
          <w:p w14:paraId="20A47F06">
            <w:pPr>
              <w:rPr>
                <w:rFonts w:ascii="宋体" w:hAnsi="宋体" w:cs="宋体"/>
                <w:sz w:val="24"/>
              </w:rPr>
            </w:pPr>
            <w:r>
              <w:rPr>
                <w:rFonts w:hint="eastAsia" w:ascii="宋体" w:hAnsi="宋体" w:cs="宋体"/>
                <w:sz w:val="24"/>
              </w:rPr>
              <w:t>哈C-276</w:t>
            </w:r>
          </w:p>
        </w:tc>
      </w:tr>
      <w:tr w14:paraId="76EC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3BFA238B">
            <w:pPr>
              <w:rPr>
                <w:rFonts w:ascii="宋体" w:hAnsi="宋体" w:cs="宋体"/>
                <w:sz w:val="24"/>
              </w:rPr>
            </w:pPr>
            <w:r>
              <w:rPr>
                <w:rFonts w:hint="eastAsia" w:ascii="宋体" w:hAnsi="宋体" w:cs="宋体"/>
                <w:sz w:val="24"/>
                <w:lang w:val="en-US" w:eastAsia="zh-CN"/>
              </w:rPr>
              <w:t>1.5</w:t>
            </w:r>
            <w:r>
              <w:rPr>
                <w:rFonts w:hint="eastAsia" w:ascii="宋体" w:hAnsi="宋体" w:cs="宋体"/>
                <w:sz w:val="24"/>
              </w:rPr>
              <w:t>三通球阀</w:t>
            </w:r>
          </w:p>
        </w:tc>
        <w:tc>
          <w:tcPr>
            <w:tcW w:w="0" w:type="auto"/>
            <w:shd w:val="clear" w:color="auto" w:fill="auto"/>
          </w:tcPr>
          <w:p w14:paraId="2AF7CD5E">
            <w:pPr>
              <w:rPr>
                <w:rFonts w:ascii="宋体" w:hAnsi="宋体" w:cs="宋体"/>
                <w:sz w:val="24"/>
              </w:rPr>
            </w:pPr>
            <w:r>
              <w:rPr>
                <w:rFonts w:hint="eastAsia" w:ascii="宋体" w:hAnsi="宋体" w:cs="宋体"/>
                <w:sz w:val="24"/>
              </w:rPr>
              <w:t>哈C-276</w:t>
            </w:r>
          </w:p>
        </w:tc>
      </w:tr>
      <w:tr w14:paraId="36C6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4F02BECB">
            <w:pPr>
              <w:rPr>
                <w:rFonts w:ascii="宋体" w:hAnsi="宋体" w:cs="宋体"/>
                <w:sz w:val="24"/>
              </w:rPr>
            </w:pPr>
            <w:r>
              <w:rPr>
                <w:rFonts w:hint="eastAsia" w:ascii="宋体" w:hAnsi="宋体" w:cs="宋体"/>
                <w:sz w:val="24"/>
                <w:lang w:val="en-US" w:eastAsia="zh-CN"/>
              </w:rPr>
              <w:t>1.6</w:t>
            </w:r>
            <w:r>
              <w:rPr>
                <w:rFonts w:hint="eastAsia" w:ascii="宋体" w:hAnsi="宋体" w:cs="宋体"/>
                <w:sz w:val="24"/>
              </w:rPr>
              <w:t>管线</w:t>
            </w:r>
          </w:p>
        </w:tc>
        <w:tc>
          <w:tcPr>
            <w:tcW w:w="0" w:type="auto"/>
            <w:shd w:val="clear" w:color="auto" w:fill="auto"/>
          </w:tcPr>
          <w:p w14:paraId="0D88E08D">
            <w:pPr>
              <w:rPr>
                <w:rFonts w:ascii="宋体" w:hAnsi="宋体" w:cs="宋体"/>
                <w:sz w:val="24"/>
              </w:rPr>
            </w:pPr>
            <w:r>
              <w:rPr>
                <w:rFonts w:hint="eastAsia" w:ascii="宋体" w:hAnsi="宋体" w:cs="宋体"/>
                <w:sz w:val="24"/>
              </w:rPr>
              <w:t>哈C-276</w:t>
            </w:r>
          </w:p>
        </w:tc>
      </w:tr>
      <w:tr w14:paraId="7F79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019ED5B9">
            <w:pPr>
              <w:rPr>
                <w:rFonts w:ascii="宋体" w:hAnsi="宋体" w:cs="宋体"/>
                <w:sz w:val="24"/>
              </w:rPr>
            </w:pPr>
            <w:r>
              <w:rPr>
                <w:rFonts w:hint="eastAsia" w:ascii="宋体" w:hAnsi="宋体" w:cs="宋体"/>
                <w:sz w:val="24"/>
                <w:lang w:val="en-US" w:eastAsia="zh-CN"/>
              </w:rPr>
              <w:t>1.7</w:t>
            </w:r>
            <w:r>
              <w:rPr>
                <w:rFonts w:hint="eastAsia" w:ascii="宋体" w:hAnsi="宋体" w:cs="宋体"/>
                <w:sz w:val="24"/>
              </w:rPr>
              <w:t>压力表</w:t>
            </w:r>
          </w:p>
        </w:tc>
        <w:tc>
          <w:tcPr>
            <w:tcW w:w="0" w:type="auto"/>
            <w:shd w:val="clear" w:color="auto" w:fill="auto"/>
          </w:tcPr>
          <w:p w14:paraId="66BFC36B">
            <w:pPr>
              <w:rPr>
                <w:rFonts w:ascii="宋体" w:hAnsi="宋体" w:cs="宋体"/>
                <w:sz w:val="24"/>
              </w:rPr>
            </w:pPr>
            <w:r>
              <w:rPr>
                <w:rFonts w:hint="eastAsia" w:ascii="宋体" w:hAnsi="宋体" w:cs="宋体"/>
                <w:sz w:val="24"/>
              </w:rPr>
              <w:t>膜片哈C隔膜压力表</w:t>
            </w:r>
          </w:p>
        </w:tc>
      </w:tr>
      <w:tr w14:paraId="525E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6092101C">
            <w:pPr>
              <w:rPr>
                <w:rFonts w:ascii="宋体" w:hAnsi="宋体" w:cs="宋体"/>
                <w:sz w:val="24"/>
              </w:rPr>
            </w:pPr>
            <w:r>
              <w:rPr>
                <w:rFonts w:hint="eastAsia" w:ascii="宋体" w:hAnsi="宋体" w:cs="宋体"/>
                <w:sz w:val="24"/>
                <w:lang w:val="en-US" w:eastAsia="zh-CN"/>
              </w:rPr>
              <w:t>1.8</w:t>
            </w:r>
            <w:r>
              <w:rPr>
                <w:rFonts w:hint="eastAsia" w:ascii="宋体" w:hAnsi="宋体" w:cs="宋体"/>
                <w:sz w:val="24"/>
              </w:rPr>
              <w:t>单向阀</w:t>
            </w:r>
          </w:p>
        </w:tc>
        <w:tc>
          <w:tcPr>
            <w:tcW w:w="0" w:type="auto"/>
            <w:shd w:val="clear" w:color="auto" w:fill="auto"/>
          </w:tcPr>
          <w:p w14:paraId="29C9318E">
            <w:pPr>
              <w:rPr>
                <w:rFonts w:ascii="宋体" w:hAnsi="宋体" w:cs="宋体"/>
                <w:sz w:val="24"/>
              </w:rPr>
            </w:pPr>
            <w:r>
              <w:rPr>
                <w:rFonts w:hint="eastAsia" w:ascii="宋体" w:hAnsi="宋体" w:cs="宋体"/>
                <w:sz w:val="24"/>
              </w:rPr>
              <w:t>哈C-276</w:t>
            </w:r>
          </w:p>
        </w:tc>
      </w:tr>
      <w:tr w14:paraId="6F9B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62ECDD60">
            <w:pPr>
              <w:rPr>
                <w:rFonts w:ascii="宋体" w:hAnsi="宋体" w:cs="宋体"/>
                <w:sz w:val="24"/>
              </w:rPr>
            </w:pPr>
            <w:r>
              <w:rPr>
                <w:rFonts w:hint="eastAsia" w:ascii="宋体" w:hAnsi="宋体" w:cs="宋体"/>
                <w:sz w:val="24"/>
                <w:lang w:val="en-US" w:eastAsia="zh-CN"/>
              </w:rPr>
              <w:t>1.9</w:t>
            </w:r>
            <w:r>
              <w:rPr>
                <w:rFonts w:hint="eastAsia" w:ascii="宋体" w:hAnsi="宋体" w:cs="宋体"/>
                <w:sz w:val="24"/>
              </w:rPr>
              <w:t>流量计</w:t>
            </w:r>
          </w:p>
        </w:tc>
        <w:tc>
          <w:tcPr>
            <w:tcW w:w="0" w:type="auto"/>
            <w:shd w:val="clear" w:color="auto" w:fill="auto"/>
          </w:tcPr>
          <w:p w14:paraId="2439CADA">
            <w:pPr>
              <w:rPr>
                <w:rFonts w:ascii="宋体" w:hAnsi="宋体" w:cs="宋体"/>
                <w:sz w:val="24"/>
              </w:rPr>
            </w:pPr>
            <w:r>
              <w:rPr>
                <w:rFonts w:hint="eastAsia" w:ascii="宋体" w:hAnsi="宋体" w:cs="宋体"/>
                <w:sz w:val="24"/>
              </w:rPr>
              <w:t>哈C-276</w:t>
            </w:r>
          </w:p>
        </w:tc>
      </w:tr>
      <w:tr w14:paraId="0316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16D35321">
            <w:pPr>
              <w:rPr>
                <w:rFonts w:ascii="宋体" w:hAnsi="宋体" w:cs="宋体"/>
                <w:sz w:val="24"/>
              </w:rPr>
            </w:pPr>
            <w:r>
              <w:rPr>
                <w:rFonts w:hint="eastAsia" w:ascii="宋体" w:hAnsi="宋体" w:cs="宋体"/>
                <w:sz w:val="24"/>
                <w:lang w:val="en-US" w:eastAsia="zh-CN"/>
              </w:rPr>
              <w:t>1.10</w:t>
            </w:r>
            <w:r>
              <w:rPr>
                <w:rFonts w:hint="eastAsia" w:ascii="宋体" w:hAnsi="宋体" w:cs="宋体"/>
                <w:sz w:val="24"/>
              </w:rPr>
              <w:t>过滤器</w:t>
            </w:r>
          </w:p>
        </w:tc>
        <w:tc>
          <w:tcPr>
            <w:tcW w:w="0" w:type="auto"/>
            <w:shd w:val="clear" w:color="auto" w:fill="auto"/>
          </w:tcPr>
          <w:p w14:paraId="09ACA00E">
            <w:pPr>
              <w:rPr>
                <w:rFonts w:ascii="宋体" w:hAnsi="宋体" w:cs="宋体"/>
                <w:sz w:val="24"/>
              </w:rPr>
            </w:pPr>
            <w:r>
              <w:rPr>
                <w:rFonts w:hint="eastAsia" w:ascii="宋体" w:hAnsi="宋体" w:cs="宋体"/>
                <w:sz w:val="24"/>
              </w:rPr>
              <w:t>哈C-276</w:t>
            </w:r>
          </w:p>
        </w:tc>
      </w:tr>
      <w:tr w14:paraId="1499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6C2E7335">
            <w:pPr>
              <w:rPr>
                <w:rFonts w:ascii="宋体" w:hAnsi="宋体" w:cs="宋体"/>
                <w:sz w:val="24"/>
              </w:rPr>
            </w:pPr>
            <w:r>
              <w:rPr>
                <w:rFonts w:hint="eastAsia" w:ascii="宋体" w:hAnsi="宋体" w:cs="宋体"/>
                <w:sz w:val="24"/>
                <w:lang w:val="en-US" w:eastAsia="zh-CN"/>
              </w:rPr>
              <w:t>1.11</w:t>
            </w:r>
            <w:r>
              <w:rPr>
                <w:rFonts w:hint="eastAsia" w:ascii="宋体" w:hAnsi="宋体" w:cs="宋体"/>
                <w:sz w:val="24"/>
              </w:rPr>
              <w:t>机柜</w:t>
            </w:r>
          </w:p>
        </w:tc>
        <w:tc>
          <w:tcPr>
            <w:tcW w:w="0" w:type="auto"/>
            <w:shd w:val="clear" w:color="auto" w:fill="auto"/>
          </w:tcPr>
          <w:p w14:paraId="19C57D0E">
            <w:pPr>
              <w:rPr>
                <w:rFonts w:ascii="宋体" w:hAnsi="宋体" w:cs="宋体"/>
                <w:sz w:val="24"/>
              </w:rPr>
            </w:pPr>
            <w:r>
              <w:rPr>
                <w:rFonts w:hint="eastAsia" w:ascii="宋体" w:hAnsi="宋体" w:cs="宋体"/>
                <w:sz w:val="24"/>
              </w:rPr>
              <w:t>碳钢喷塑</w:t>
            </w:r>
          </w:p>
        </w:tc>
      </w:tr>
    </w:tbl>
    <w:p w14:paraId="268802D0">
      <w:pPr>
        <w:ind w:left="-4" w:leftChars="-2"/>
        <w:rPr>
          <w:rFonts w:ascii="宋体" w:hAnsi="宋体" w:cs="宋体"/>
          <w:b/>
          <w:sz w:val="28"/>
          <w:szCs w:val="28"/>
        </w:rPr>
      </w:pPr>
      <w:r>
        <w:rPr>
          <w:rFonts w:hint="eastAsia" w:ascii="宋体" w:hAnsi="宋体"/>
          <w:b/>
          <w:bCs/>
          <w:sz w:val="24"/>
        </w:rPr>
        <w:t>本次招标采购分析仪表台数共计</w:t>
      </w:r>
      <w:r>
        <w:rPr>
          <w:rFonts w:hint="eastAsia" w:ascii="宋体" w:hAnsi="宋体"/>
          <w:b/>
          <w:bCs/>
          <w:sz w:val="24"/>
          <w:lang w:val="en-US" w:eastAsia="zh-CN"/>
        </w:rPr>
        <w:t>4</w:t>
      </w:r>
      <w:r>
        <w:rPr>
          <w:rFonts w:hint="eastAsia" w:ascii="宋体" w:hAnsi="宋体"/>
          <w:b/>
          <w:bCs/>
          <w:sz w:val="24"/>
        </w:rPr>
        <w:t>台。</w:t>
      </w:r>
    </w:p>
    <w:p w14:paraId="260E52C3">
      <w:pPr>
        <w:spacing w:line="360" w:lineRule="auto"/>
        <w:ind w:left="-17" w:leftChars="-8" w:firstLine="16" w:firstLineChars="7"/>
        <w:jc w:val="left"/>
        <w:rPr>
          <w:rFonts w:ascii="宋体" w:hAnsi="宋体"/>
          <w:sz w:val="24"/>
        </w:rPr>
      </w:pPr>
      <w:r>
        <w:rPr>
          <w:rFonts w:hint="eastAsia" w:ascii="宋体" w:hAnsi="宋体"/>
          <w:sz w:val="24"/>
        </w:rPr>
        <w:t>6、 按照技术要求乙方所提供的分析仪系统，包括设计、制作和安装施工以及有关技术文件和图纸，遵循下述标准和规范，以下规范标准若发布最新批准版本，按照最新批准版本执行：</w:t>
      </w:r>
    </w:p>
    <w:p w14:paraId="6926DE06">
      <w:pPr>
        <w:spacing w:line="360" w:lineRule="auto"/>
        <w:rPr>
          <w:kern w:val="0"/>
          <w:szCs w:val="21"/>
        </w:rPr>
      </w:pPr>
      <w:r>
        <w:rPr>
          <w:kern w:val="0"/>
          <w:szCs w:val="21"/>
        </w:rPr>
        <w:t>乙方所提供的分析仪系统，包括设计、制作和安装施工以及有关技术文件和图纸，遵循下述标准和规范</w:t>
      </w:r>
      <w:r>
        <w:rPr>
          <w:rFonts w:hint="eastAsia"/>
          <w:kern w:val="0"/>
          <w:szCs w:val="21"/>
        </w:rPr>
        <w:t>，以下规范标准若发布最新批准版本，按照最新批准版本执行</w:t>
      </w:r>
      <w:r>
        <w:rPr>
          <w:kern w:val="0"/>
          <w:szCs w:val="21"/>
        </w:rPr>
        <w:t>：</w:t>
      </w:r>
    </w:p>
    <w:p w14:paraId="4DFA23A1">
      <w:pPr>
        <w:spacing w:line="360" w:lineRule="auto"/>
        <w:rPr>
          <w:rFonts w:ascii="宋体" w:hAnsi="宋体" w:cs="宋体"/>
          <w:kern w:val="0"/>
          <w:szCs w:val="21"/>
        </w:rPr>
      </w:pPr>
      <w:r>
        <w:rPr>
          <w:rFonts w:hint="eastAsia" w:ascii="宋体" w:hAnsi="宋体" w:cs="宋体"/>
          <w:kern w:val="0"/>
          <w:szCs w:val="21"/>
        </w:rPr>
        <w:t>API RP 555</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Process Analyzers</w:t>
      </w:r>
    </w:p>
    <w:p w14:paraId="2C8C83C0">
      <w:pPr>
        <w:spacing w:line="360" w:lineRule="auto"/>
        <w:rPr>
          <w:rFonts w:ascii="宋体" w:hAnsi="宋体" w:cs="宋体"/>
          <w:kern w:val="0"/>
          <w:szCs w:val="21"/>
        </w:rPr>
      </w:pPr>
      <w:r>
        <w:rPr>
          <w:rFonts w:hint="eastAsia" w:ascii="宋体" w:hAnsi="宋体" w:cs="宋体"/>
          <w:kern w:val="0"/>
          <w:szCs w:val="21"/>
        </w:rPr>
        <w:t>ASME/ANSI B1.20.1</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Pipe Threads,General Purpose(Inch)</w:t>
      </w:r>
    </w:p>
    <w:p w14:paraId="181959E3">
      <w:pPr>
        <w:spacing w:line="360" w:lineRule="auto"/>
        <w:rPr>
          <w:rFonts w:ascii="宋体" w:hAnsi="宋体" w:cs="宋体"/>
          <w:kern w:val="0"/>
          <w:szCs w:val="21"/>
        </w:rPr>
      </w:pPr>
      <w:r>
        <w:rPr>
          <w:rFonts w:hint="eastAsia" w:ascii="宋体" w:hAnsi="宋体" w:cs="宋体"/>
          <w:kern w:val="0"/>
          <w:szCs w:val="21"/>
        </w:rPr>
        <w:t>ASME/ANSI B16.5</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Pipe Flanges and Flanged Fittings</w:t>
      </w:r>
    </w:p>
    <w:p w14:paraId="31AE6093">
      <w:pPr>
        <w:spacing w:line="360" w:lineRule="auto"/>
        <w:rPr>
          <w:rFonts w:ascii="宋体" w:hAnsi="宋体" w:cs="宋体"/>
          <w:kern w:val="0"/>
          <w:szCs w:val="21"/>
        </w:rPr>
      </w:pPr>
      <w:r>
        <w:rPr>
          <w:rFonts w:hint="eastAsia" w:ascii="宋体" w:hAnsi="宋体" w:cs="宋体"/>
          <w:kern w:val="0"/>
          <w:szCs w:val="21"/>
        </w:rPr>
        <w:t>ASME/ANSI B46.1</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Surface Texture(Surface Roughness,Waviness,and Lay)</w:t>
      </w:r>
    </w:p>
    <w:p w14:paraId="17185218">
      <w:pPr>
        <w:spacing w:line="360" w:lineRule="auto"/>
        <w:rPr>
          <w:rFonts w:ascii="宋体" w:hAnsi="宋体" w:cs="宋体"/>
          <w:kern w:val="0"/>
          <w:szCs w:val="21"/>
        </w:rPr>
      </w:pPr>
      <w:r>
        <w:rPr>
          <w:rFonts w:hint="eastAsia" w:ascii="宋体" w:hAnsi="宋体" w:cs="宋体"/>
          <w:kern w:val="0"/>
          <w:szCs w:val="21"/>
        </w:rPr>
        <w:t>IEC 60079</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Electrical Apperatus for Explosive Gas Atmospheres</w:t>
      </w:r>
    </w:p>
    <w:p w14:paraId="627252D7">
      <w:pPr>
        <w:spacing w:line="360" w:lineRule="auto"/>
        <w:rPr>
          <w:rFonts w:ascii="宋体" w:hAnsi="宋体" w:cs="宋体"/>
          <w:kern w:val="0"/>
          <w:szCs w:val="21"/>
        </w:rPr>
      </w:pPr>
      <w:r>
        <w:rPr>
          <w:rFonts w:hint="eastAsia" w:ascii="宋体" w:hAnsi="宋体" w:cs="宋体"/>
          <w:kern w:val="0"/>
          <w:szCs w:val="21"/>
        </w:rPr>
        <w:t>IEC 60529</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Degrees of Protection Provided by Enclosures(IP Code)</w:t>
      </w:r>
    </w:p>
    <w:p w14:paraId="6DF96D44">
      <w:pPr>
        <w:spacing w:line="360" w:lineRule="auto"/>
        <w:rPr>
          <w:rFonts w:ascii="宋体" w:hAnsi="宋体" w:cs="宋体"/>
          <w:kern w:val="0"/>
          <w:szCs w:val="21"/>
        </w:rPr>
      </w:pPr>
      <w:r>
        <w:rPr>
          <w:rFonts w:hint="eastAsia" w:ascii="宋体" w:hAnsi="宋体" w:cs="宋体"/>
          <w:kern w:val="0"/>
          <w:szCs w:val="21"/>
        </w:rPr>
        <w:t>IEC 60364</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Equipment Sate Separation</w:t>
      </w:r>
    </w:p>
    <w:p w14:paraId="7A321C0B">
      <w:pPr>
        <w:spacing w:line="360" w:lineRule="auto"/>
        <w:rPr>
          <w:rFonts w:ascii="宋体" w:hAnsi="宋体" w:cs="宋体"/>
          <w:kern w:val="0"/>
          <w:szCs w:val="21"/>
        </w:rPr>
      </w:pPr>
      <w:r>
        <w:rPr>
          <w:rFonts w:hint="eastAsia" w:ascii="宋体" w:hAnsi="宋体" w:cs="宋体"/>
          <w:kern w:val="0"/>
          <w:szCs w:val="21"/>
        </w:rPr>
        <w:t>IEC 61000</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Electromagnetic Compatibility</w:t>
      </w:r>
    </w:p>
    <w:p w14:paraId="54966586">
      <w:pPr>
        <w:spacing w:line="360" w:lineRule="auto"/>
        <w:rPr>
          <w:rFonts w:ascii="宋体" w:hAnsi="宋体" w:cs="宋体"/>
          <w:kern w:val="0"/>
          <w:szCs w:val="21"/>
        </w:rPr>
      </w:pPr>
      <w:r>
        <w:rPr>
          <w:rFonts w:hint="eastAsia" w:ascii="宋体" w:hAnsi="宋体" w:cs="宋体"/>
          <w:kern w:val="0"/>
          <w:szCs w:val="21"/>
        </w:rPr>
        <w:t>IEC 61131</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Programmable Controllers</w:t>
      </w:r>
    </w:p>
    <w:p w14:paraId="1ADE63BA">
      <w:pPr>
        <w:spacing w:line="360" w:lineRule="auto"/>
        <w:rPr>
          <w:rFonts w:ascii="宋体" w:hAnsi="宋体" w:cs="宋体"/>
          <w:kern w:val="0"/>
          <w:szCs w:val="21"/>
        </w:rPr>
      </w:pPr>
      <w:r>
        <w:rPr>
          <w:rFonts w:hint="eastAsia" w:ascii="宋体" w:hAnsi="宋体" w:cs="宋体"/>
          <w:kern w:val="0"/>
          <w:szCs w:val="21"/>
        </w:rPr>
        <w:t>GB 3100</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国际单位制及其应用</w:t>
      </w:r>
    </w:p>
    <w:p w14:paraId="159AB3CA">
      <w:pPr>
        <w:spacing w:line="360" w:lineRule="auto"/>
        <w:rPr>
          <w:rFonts w:ascii="宋体" w:hAnsi="宋体" w:cs="宋体"/>
          <w:kern w:val="0"/>
          <w:szCs w:val="21"/>
        </w:rPr>
      </w:pPr>
      <w:r>
        <w:rPr>
          <w:rFonts w:hint="eastAsia" w:ascii="宋体" w:hAnsi="宋体" w:cs="宋体"/>
          <w:kern w:val="0"/>
          <w:szCs w:val="21"/>
        </w:rPr>
        <w:t>GB 3836</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爆炸性气体环境用电气设备</w:t>
      </w:r>
    </w:p>
    <w:p w14:paraId="4B4599B5">
      <w:pPr>
        <w:spacing w:line="360" w:lineRule="auto"/>
        <w:rPr>
          <w:rFonts w:ascii="宋体" w:hAnsi="宋体" w:cs="宋体"/>
          <w:kern w:val="0"/>
          <w:szCs w:val="21"/>
        </w:rPr>
      </w:pPr>
      <w:r>
        <w:rPr>
          <w:rFonts w:hint="eastAsia" w:ascii="宋体" w:hAnsi="宋体" w:cs="宋体"/>
          <w:kern w:val="0"/>
          <w:szCs w:val="21"/>
        </w:rPr>
        <w:t>SH/T3005</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石油化工自动化仪表选型设计规范</w:t>
      </w:r>
    </w:p>
    <w:p w14:paraId="4AFDD880">
      <w:pPr>
        <w:spacing w:line="360" w:lineRule="auto"/>
        <w:rPr>
          <w:rFonts w:ascii="宋体" w:hAnsi="宋体" w:cs="宋体"/>
          <w:kern w:val="0"/>
          <w:szCs w:val="21"/>
        </w:rPr>
      </w:pPr>
      <w:r>
        <w:rPr>
          <w:rFonts w:hint="eastAsia" w:ascii="宋体" w:hAnsi="宋体" w:cs="宋体"/>
          <w:kern w:val="0"/>
          <w:szCs w:val="21"/>
        </w:rPr>
        <w:t>SH/T 3081</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石油化工仪表接地设计规范</w:t>
      </w:r>
    </w:p>
    <w:p w14:paraId="525CD630">
      <w:pPr>
        <w:spacing w:line="360" w:lineRule="auto"/>
        <w:rPr>
          <w:rFonts w:ascii="宋体" w:hAnsi="宋体" w:cs="宋体"/>
          <w:kern w:val="0"/>
          <w:szCs w:val="21"/>
        </w:rPr>
      </w:pPr>
      <w:r>
        <w:rPr>
          <w:rFonts w:hint="eastAsia" w:ascii="宋体" w:hAnsi="宋体" w:cs="宋体"/>
          <w:kern w:val="0"/>
          <w:szCs w:val="21"/>
        </w:rPr>
        <w:t>SH/T 3082</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石油化工仪表供电设计规范</w:t>
      </w:r>
    </w:p>
    <w:p w14:paraId="0268BC16">
      <w:pPr>
        <w:spacing w:line="360" w:lineRule="auto"/>
        <w:rPr>
          <w:rFonts w:ascii="宋体" w:hAnsi="宋体" w:cs="宋体"/>
          <w:kern w:val="0"/>
          <w:szCs w:val="21"/>
        </w:rPr>
      </w:pPr>
      <w:r>
        <w:rPr>
          <w:rFonts w:hint="eastAsia" w:ascii="宋体" w:hAnsi="宋体" w:cs="宋体"/>
          <w:kern w:val="0"/>
          <w:szCs w:val="21"/>
        </w:rPr>
        <w:t>SH/T 3097</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石油化工仪表静电接地设计规范</w:t>
      </w:r>
    </w:p>
    <w:p w14:paraId="12EB6092">
      <w:pPr>
        <w:spacing w:line="360" w:lineRule="auto"/>
        <w:rPr>
          <w:rFonts w:ascii="宋体" w:hAnsi="宋体" w:cs="宋体"/>
          <w:kern w:val="0"/>
          <w:szCs w:val="21"/>
        </w:rPr>
      </w:pPr>
      <w:r>
        <w:rPr>
          <w:rFonts w:hint="eastAsia" w:ascii="宋体" w:hAnsi="宋体" w:cs="宋体"/>
          <w:kern w:val="0"/>
          <w:szCs w:val="21"/>
        </w:rPr>
        <w:t>GB 4208</w:t>
      </w:r>
      <w:r>
        <w:rPr>
          <w:rFonts w:hint="eastAsia" w:ascii="宋体" w:hAnsi="宋体" w:cs="宋体"/>
          <w:kern w:val="0"/>
          <w:szCs w:val="21"/>
        </w:rPr>
        <w:tab/>
      </w:r>
      <w:r>
        <w:rPr>
          <w:rFonts w:hint="eastAsia" w:ascii="宋体" w:hAnsi="宋体" w:cs="宋体"/>
          <w:kern w:val="0"/>
          <w:szCs w:val="21"/>
        </w:rPr>
        <w:t xml:space="preserve">     </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外壳防护等级（IP代码）</w:t>
      </w:r>
    </w:p>
    <w:p w14:paraId="006536D4">
      <w:pPr>
        <w:spacing w:line="360" w:lineRule="auto"/>
        <w:rPr>
          <w:rFonts w:ascii="宋体" w:hAnsi="宋体" w:cs="宋体"/>
          <w:kern w:val="0"/>
          <w:szCs w:val="21"/>
        </w:rPr>
      </w:pPr>
      <w:r>
        <w:rPr>
          <w:rFonts w:hint="eastAsia" w:ascii="宋体" w:hAnsi="宋体" w:cs="宋体"/>
          <w:kern w:val="0"/>
          <w:szCs w:val="21"/>
        </w:rPr>
        <w:t>NEMA 250</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Enclosures of Electrical Equipment</w:t>
      </w:r>
    </w:p>
    <w:p w14:paraId="0C53186F">
      <w:pPr>
        <w:spacing w:line="360" w:lineRule="auto"/>
        <w:rPr>
          <w:rFonts w:ascii="宋体" w:hAnsi="宋体" w:cs="宋体"/>
          <w:kern w:val="0"/>
          <w:szCs w:val="21"/>
        </w:rPr>
      </w:pPr>
      <w:r>
        <w:rPr>
          <w:rFonts w:hint="eastAsia" w:ascii="宋体" w:hAnsi="宋体" w:cs="宋体"/>
          <w:kern w:val="0"/>
          <w:szCs w:val="21"/>
        </w:rPr>
        <w:t>ISO 9001</w:t>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ab/>
      </w:r>
      <w:r>
        <w:rPr>
          <w:rFonts w:hint="eastAsia" w:ascii="宋体" w:hAnsi="宋体" w:cs="宋体"/>
          <w:kern w:val="0"/>
          <w:szCs w:val="21"/>
        </w:rPr>
        <w:t>Quality management Systems-requirements</w:t>
      </w:r>
    </w:p>
    <w:p w14:paraId="21C18783">
      <w:pPr>
        <w:spacing w:line="360" w:lineRule="auto"/>
        <w:ind w:left="-17" w:leftChars="-8" w:firstLine="727" w:firstLineChars="303"/>
        <w:jc w:val="left"/>
        <w:rPr>
          <w:rFonts w:ascii="宋体" w:hAnsi="宋体"/>
          <w:sz w:val="24"/>
        </w:rPr>
      </w:pPr>
    </w:p>
    <w:p w14:paraId="0CF09107">
      <w:pPr>
        <w:spacing w:line="360" w:lineRule="auto"/>
        <w:rPr>
          <w:rFonts w:ascii="宋体" w:hAnsi="宋体"/>
          <w:sz w:val="24"/>
        </w:rPr>
      </w:pPr>
      <w:r>
        <w:rPr>
          <w:rFonts w:hint="eastAsia" w:ascii="宋体" w:hAnsi="宋体"/>
          <w:sz w:val="24"/>
        </w:rPr>
        <w:t>其它招标方认可的标准，将可以被使用于设计和制造。</w:t>
      </w:r>
    </w:p>
    <w:p w14:paraId="03F8751D">
      <w:pPr>
        <w:spacing w:line="360" w:lineRule="auto"/>
        <w:rPr>
          <w:rFonts w:ascii="宋体" w:hAnsi="宋体"/>
          <w:sz w:val="24"/>
        </w:rPr>
      </w:pPr>
      <w:r>
        <w:rPr>
          <w:rFonts w:hint="eastAsia" w:ascii="宋体" w:hAnsi="宋体"/>
          <w:sz w:val="24"/>
        </w:rPr>
        <w:t>以上标准、规范应按最新版本执行。投标方若采用其他国家或协会标准、规范，须经买方确认。其它未列出的与本产品有关的规范与标准，投标方有义务在投标文件中列出。</w:t>
      </w:r>
    </w:p>
    <w:p w14:paraId="6DB19C85">
      <w:pPr>
        <w:spacing w:line="360" w:lineRule="auto"/>
        <w:ind w:left="-17" w:leftChars="-8" w:firstLine="14" w:firstLineChars="6"/>
        <w:rPr>
          <w:rFonts w:ascii="宋体" w:hAnsi="宋体"/>
          <w:sz w:val="24"/>
        </w:rPr>
      </w:pPr>
      <w:r>
        <w:rPr>
          <w:rFonts w:hint="eastAsia" w:ascii="宋体" w:hAnsi="宋体"/>
          <w:sz w:val="24"/>
        </w:rPr>
        <w:t>当上述文件发生矛盾时，其优先原则是：</w:t>
      </w:r>
    </w:p>
    <w:p w14:paraId="51CE82FE">
      <w:pPr>
        <w:spacing w:line="360" w:lineRule="auto"/>
        <w:ind w:left="-17" w:leftChars="-8" w:firstLine="489" w:firstLineChars="204"/>
        <w:rPr>
          <w:rFonts w:ascii="宋体" w:hAnsi="宋体"/>
          <w:sz w:val="24"/>
        </w:rPr>
      </w:pPr>
      <w:r>
        <w:rPr>
          <w:rFonts w:hint="eastAsia" w:ascii="宋体" w:hAnsi="宋体"/>
          <w:sz w:val="24"/>
        </w:rPr>
        <w:t>A)</w:t>
      </w:r>
      <w:r>
        <w:rPr>
          <w:rFonts w:hint="eastAsia" w:ascii="宋体" w:hAnsi="宋体"/>
          <w:sz w:val="24"/>
        </w:rPr>
        <w:tab/>
      </w:r>
      <w:r>
        <w:rPr>
          <w:rFonts w:hint="eastAsia" w:ascii="宋体" w:hAnsi="宋体"/>
          <w:sz w:val="24"/>
        </w:rPr>
        <w:t>仪表数据表。</w:t>
      </w:r>
    </w:p>
    <w:p w14:paraId="7A841AAB">
      <w:pPr>
        <w:spacing w:line="360" w:lineRule="auto"/>
        <w:ind w:left="-17" w:leftChars="-8" w:firstLine="489" w:firstLineChars="204"/>
        <w:rPr>
          <w:rFonts w:ascii="宋体" w:hAnsi="宋体"/>
          <w:sz w:val="24"/>
        </w:rPr>
      </w:pPr>
      <w:r>
        <w:rPr>
          <w:rFonts w:hint="eastAsia" w:ascii="宋体" w:hAnsi="宋体"/>
          <w:sz w:val="24"/>
        </w:rPr>
        <w:t>B)</w:t>
      </w:r>
      <w:r>
        <w:rPr>
          <w:rFonts w:hint="eastAsia" w:ascii="宋体" w:hAnsi="宋体"/>
          <w:sz w:val="24"/>
        </w:rPr>
        <w:tab/>
      </w:r>
      <w:r>
        <w:rPr>
          <w:rFonts w:hint="eastAsia" w:ascii="宋体" w:hAnsi="宋体"/>
          <w:sz w:val="24"/>
        </w:rPr>
        <w:t>国家标准、国际标准和其他标准及规范。</w:t>
      </w:r>
    </w:p>
    <w:p w14:paraId="39000E81">
      <w:pPr>
        <w:spacing w:line="360" w:lineRule="auto"/>
        <w:ind w:left="-17" w:leftChars="-8" w:firstLine="489" w:firstLineChars="204"/>
        <w:rPr>
          <w:rFonts w:ascii="宋体" w:hAnsi="宋体"/>
          <w:sz w:val="24"/>
        </w:rPr>
      </w:pPr>
      <w:r>
        <w:rPr>
          <w:rFonts w:hint="eastAsia" w:ascii="宋体" w:hAnsi="宋体"/>
          <w:sz w:val="24"/>
        </w:rPr>
        <w:t>C)</w:t>
      </w:r>
      <w:r>
        <w:rPr>
          <w:rFonts w:hint="eastAsia" w:ascii="宋体" w:hAnsi="宋体"/>
          <w:sz w:val="24"/>
        </w:rPr>
        <w:tab/>
      </w:r>
      <w:r>
        <w:rPr>
          <w:rFonts w:hint="eastAsia" w:ascii="宋体" w:hAnsi="宋体"/>
          <w:sz w:val="24"/>
        </w:rPr>
        <w:t>所用标准均按签订合同时的最新版本执行。</w:t>
      </w:r>
    </w:p>
    <w:p w14:paraId="5239326B">
      <w:pPr>
        <w:spacing w:line="360" w:lineRule="auto"/>
        <w:ind w:left="-17" w:leftChars="-8" w:firstLine="489" w:firstLineChars="204"/>
        <w:rPr>
          <w:rFonts w:ascii="宋体" w:hAnsi="宋体"/>
          <w:sz w:val="24"/>
        </w:rPr>
      </w:pPr>
      <w:r>
        <w:rPr>
          <w:rFonts w:hint="eastAsia" w:ascii="宋体" w:hAnsi="宋体"/>
          <w:sz w:val="24"/>
        </w:rPr>
        <w:t>未尽事项按国家、行业相关标准执行，且按就高和就严的原则执行，保证数据表的要求。</w:t>
      </w:r>
    </w:p>
    <w:p w14:paraId="1ABC2085">
      <w:pPr>
        <w:spacing w:line="360" w:lineRule="auto"/>
        <w:rPr>
          <w:rFonts w:ascii="宋体" w:hAnsi="宋体"/>
          <w:b/>
          <w:bCs/>
          <w:i/>
          <w:iCs/>
          <w:sz w:val="24"/>
          <w:u w:val="single"/>
        </w:rPr>
      </w:pPr>
      <w:r>
        <w:rPr>
          <w:rFonts w:hint="eastAsia" w:ascii="宋体" w:hAnsi="宋体"/>
          <w:b/>
          <w:bCs/>
          <w:i/>
          <w:iCs/>
          <w:sz w:val="24"/>
          <w:u w:val="single"/>
        </w:rPr>
        <w:t>7、投标方应认真核对以上技术文件中的规定和内容，如有偏差，应做出详细说明，并在投标文件中以偏差表的形式列出，不接受偏差表之外的任何负偏差。</w:t>
      </w:r>
    </w:p>
    <w:p w14:paraId="3E384BD5">
      <w:pPr>
        <w:ind w:left="-4" w:leftChars="-2"/>
        <w:rPr>
          <w:rFonts w:ascii="宋体" w:hAnsi="宋体" w:cs="宋体"/>
          <w:b/>
          <w:sz w:val="28"/>
          <w:szCs w:val="28"/>
        </w:rPr>
      </w:pPr>
      <w:r>
        <w:rPr>
          <w:rFonts w:hint="eastAsia" w:ascii="宋体" w:hAnsi="宋体" w:cs="宋体"/>
          <w:b/>
          <w:sz w:val="28"/>
          <w:szCs w:val="28"/>
        </w:rPr>
        <w:t>7.1微量水分析仪技术要求</w:t>
      </w:r>
    </w:p>
    <w:p w14:paraId="27A3D727">
      <w:pPr>
        <w:spacing w:line="400" w:lineRule="exact"/>
        <w:ind w:left="-17" w:leftChars="-8" w:firstLine="14" w:firstLineChars="6"/>
        <w:rPr>
          <w:rFonts w:ascii="宋体" w:hAnsi="宋体"/>
          <w:b/>
          <w:bCs/>
          <w:sz w:val="24"/>
        </w:rPr>
      </w:pPr>
      <w:r>
        <w:rPr>
          <w:rFonts w:hint="eastAsia" w:ascii="宋体" w:hAnsi="宋体"/>
          <w:b/>
          <w:bCs/>
          <w:sz w:val="24"/>
        </w:rPr>
        <w:t xml:space="preserve">7.2 </w:t>
      </w:r>
      <w:r>
        <w:rPr>
          <w:rFonts w:hint="eastAsia" w:ascii="宋体" w:hAnsi="宋体" w:cs="宋体"/>
          <w:b/>
          <w:sz w:val="24"/>
        </w:rPr>
        <w:t>微量水</w:t>
      </w:r>
      <w:r>
        <w:rPr>
          <w:rFonts w:hint="eastAsia" w:ascii="宋体" w:hAnsi="宋体" w:cs="宋体"/>
          <w:b/>
          <w:bCs/>
          <w:sz w:val="24"/>
        </w:rPr>
        <w:t>必须满足《仪</w:t>
      </w:r>
      <w:r>
        <w:rPr>
          <w:rFonts w:hint="eastAsia" w:ascii="宋体" w:hAnsi="宋体"/>
          <w:b/>
          <w:bCs/>
          <w:sz w:val="24"/>
        </w:rPr>
        <w:t>表数据表》的要求。</w:t>
      </w:r>
    </w:p>
    <w:p w14:paraId="7A394DD2">
      <w:pPr>
        <w:spacing w:line="360" w:lineRule="auto"/>
        <w:ind w:left="-17" w:leftChars="-8" w:firstLine="14" w:firstLineChars="6"/>
        <w:rPr>
          <w:rFonts w:ascii="宋体" w:hAnsi="宋体"/>
          <w:b/>
          <w:bCs/>
          <w:sz w:val="24"/>
        </w:rPr>
      </w:pPr>
      <w:r>
        <w:rPr>
          <w:rFonts w:hint="eastAsia" w:ascii="宋体" w:hAnsi="宋体"/>
          <w:b/>
          <w:bCs/>
          <w:sz w:val="24"/>
        </w:rPr>
        <w:t>7.3 微量水设计、制造、检验、安装、测试、验收采用的主要标准。</w:t>
      </w:r>
    </w:p>
    <w:tbl>
      <w:tblPr>
        <w:tblStyle w:val="2"/>
        <w:tblW w:w="9390" w:type="dxa"/>
        <w:tblInd w:w="0" w:type="dxa"/>
        <w:tblLayout w:type="autofit"/>
        <w:tblCellMar>
          <w:top w:w="0" w:type="dxa"/>
          <w:left w:w="108" w:type="dxa"/>
          <w:bottom w:w="0" w:type="dxa"/>
          <w:right w:w="108" w:type="dxa"/>
        </w:tblCellMar>
      </w:tblPr>
      <w:tblGrid>
        <w:gridCol w:w="1548"/>
        <w:gridCol w:w="7842"/>
      </w:tblGrid>
      <w:tr w14:paraId="66DCF0A6">
        <w:tblPrEx>
          <w:tblCellMar>
            <w:top w:w="0" w:type="dxa"/>
            <w:left w:w="108" w:type="dxa"/>
            <w:bottom w:w="0" w:type="dxa"/>
            <w:right w:w="108" w:type="dxa"/>
          </w:tblCellMar>
        </w:tblPrEx>
        <w:tc>
          <w:tcPr>
            <w:tcW w:w="1548" w:type="dxa"/>
            <w:tcBorders>
              <w:top w:val="nil"/>
              <w:left w:val="nil"/>
              <w:bottom w:val="nil"/>
              <w:right w:val="nil"/>
            </w:tcBorders>
          </w:tcPr>
          <w:p w14:paraId="17905E31">
            <w:pPr>
              <w:autoSpaceDE w:val="0"/>
              <w:autoSpaceDN w:val="0"/>
              <w:adjustRightInd w:val="0"/>
              <w:spacing w:line="360" w:lineRule="auto"/>
              <w:jc w:val="center"/>
              <w:rPr>
                <w:rFonts w:ascii="宋体" w:hAnsi="宋体"/>
                <w:szCs w:val="21"/>
              </w:rPr>
            </w:pPr>
            <w:r>
              <w:rPr>
                <w:rFonts w:hint="eastAsia" w:ascii="宋体" w:hAnsi="宋体"/>
                <w:szCs w:val="21"/>
              </w:rPr>
              <w:t>工作原理</w:t>
            </w:r>
          </w:p>
        </w:tc>
        <w:tc>
          <w:tcPr>
            <w:tcW w:w="7842" w:type="dxa"/>
            <w:tcBorders>
              <w:top w:val="nil"/>
              <w:left w:val="nil"/>
              <w:bottom w:val="nil"/>
              <w:right w:val="nil"/>
            </w:tcBorders>
          </w:tcPr>
          <w:p w14:paraId="0A5F2853">
            <w:pPr>
              <w:autoSpaceDE w:val="0"/>
              <w:autoSpaceDN w:val="0"/>
              <w:adjustRightInd w:val="0"/>
              <w:spacing w:line="360" w:lineRule="auto"/>
              <w:ind w:leftChars="-2" w:hanging="4" w:hangingChars="2"/>
              <w:rPr>
                <w:rFonts w:ascii="宋体" w:hAnsi="宋体"/>
                <w:szCs w:val="21"/>
              </w:rPr>
            </w:pPr>
            <w:r>
              <w:rPr>
                <w:rFonts w:hint="eastAsia" w:ascii="宋体" w:hAnsi="宋体"/>
                <w:szCs w:val="21"/>
              </w:rPr>
              <w:t>DLAS原理</w:t>
            </w:r>
          </w:p>
        </w:tc>
      </w:tr>
      <w:tr w14:paraId="6B2922F2">
        <w:tblPrEx>
          <w:tblCellMar>
            <w:top w:w="0" w:type="dxa"/>
            <w:left w:w="108" w:type="dxa"/>
            <w:bottom w:w="0" w:type="dxa"/>
            <w:right w:w="108" w:type="dxa"/>
          </w:tblCellMar>
        </w:tblPrEx>
        <w:tc>
          <w:tcPr>
            <w:tcW w:w="1548" w:type="dxa"/>
            <w:tcBorders>
              <w:top w:val="nil"/>
              <w:left w:val="nil"/>
              <w:bottom w:val="nil"/>
              <w:right w:val="nil"/>
            </w:tcBorders>
          </w:tcPr>
          <w:p w14:paraId="35C26159">
            <w:pPr>
              <w:autoSpaceDE w:val="0"/>
              <w:autoSpaceDN w:val="0"/>
              <w:adjustRightInd w:val="0"/>
              <w:spacing w:line="360" w:lineRule="auto"/>
              <w:jc w:val="center"/>
              <w:rPr>
                <w:rFonts w:ascii="宋体" w:hAnsi="宋体"/>
                <w:szCs w:val="21"/>
              </w:rPr>
            </w:pPr>
            <w:r>
              <w:rPr>
                <w:rFonts w:hint="eastAsia" w:ascii="宋体" w:hAnsi="宋体"/>
                <w:szCs w:val="21"/>
              </w:rPr>
              <w:t>测量范围</w:t>
            </w:r>
          </w:p>
        </w:tc>
        <w:tc>
          <w:tcPr>
            <w:tcW w:w="7842" w:type="dxa"/>
            <w:tcBorders>
              <w:top w:val="nil"/>
              <w:left w:val="nil"/>
              <w:bottom w:val="nil"/>
              <w:right w:val="nil"/>
            </w:tcBorders>
          </w:tcPr>
          <w:p w14:paraId="47B17820">
            <w:pPr>
              <w:autoSpaceDE w:val="0"/>
              <w:autoSpaceDN w:val="0"/>
              <w:adjustRightInd w:val="0"/>
              <w:spacing w:line="360" w:lineRule="auto"/>
              <w:rPr>
                <w:rFonts w:ascii="宋体" w:hAnsi="宋体"/>
                <w:szCs w:val="21"/>
              </w:rPr>
            </w:pPr>
            <w:r>
              <w:rPr>
                <w:rFonts w:hint="eastAsia" w:ascii="宋体" w:hAnsi="宋体"/>
                <w:szCs w:val="21"/>
              </w:rPr>
              <w:t>H2O:0-300ppm</w:t>
            </w:r>
          </w:p>
        </w:tc>
      </w:tr>
      <w:tr w14:paraId="20F95B02">
        <w:tblPrEx>
          <w:tblCellMar>
            <w:top w:w="0" w:type="dxa"/>
            <w:left w:w="108" w:type="dxa"/>
            <w:bottom w:w="0" w:type="dxa"/>
            <w:right w:w="108" w:type="dxa"/>
          </w:tblCellMar>
        </w:tblPrEx>
        <w:tc>
          <w:tcPr>
            <w:tcW w:w="1548" w:type="dxa"/>
            <w:tcBorders>
              <w:top w:val="nil"/>
              <w:left w:val="nil"/>
              <w:bottom w:val="nil"/>
              <w:right w:val="nil"/>
            </w:tcBorders>
          </w:tcPr>
          <w:p w14:paraId="4E45D12F">
            <w:pPr>
              <w:autoSpaceDE w:val="0"/>
              <w:autoSpaceDN w:val="0"/>
              <w:adjustRightInd w:val="0"/>
              <w:spacing w:line="360" w:lineRule="auto"/>
              <w:jc w:val="center"/>
              <w:rPr>
                <w:rFonts w:ascii="宋体" w:hAnsi="宋体"/>
                <w:szCs w:val="21"/>
              </w:rPr>
            </w:pPr>
            <w:r>
              <w:rPr>
                <w:rFonts w:hint="eastAsia" w:ascii="宋体" w:hAnsi="宋体"/>
                <w:szCs w:val="21"/>
              </w:rPr>
              <w:t>线性误差</w:t>
            </w:r>
          </w:p>
        </w:tc>
        <w:tc>
          <w:tcPr>
            <w:tcW w:w="7842" w:type="dxa"/>
            <w:tcBorders>
              <w:top w:val="nil"/>
              <w:left w:val="nil"/>
              <w:bottom w:val="nil"/>
              <w:right w:val="nil"/>
            </w:tcBorders>
            <w:vAlign w:val="center"/>
          </w:tcPr>
          <w:p w14:paraId="27783C30">
            <w:pPr>
              <w:rPr>
                <w:rFonts w:ascii="宋体" w:hAnsi="宋体" w:cs="Arial"/>
                <w:szCs w:val="21"/>
              </w:rPr>
            </w:pPr>
            <w:r>
              <w:rPr>
                <w:rFonts w:hint="eastAsia" w:ascii="宋体" w:hAnsi="宋体"/>
                <w:szCs w:val="21"/>
              </w:rPr>
              <w:t>H2O</w:t>
            </w:r>
            <w:r>
              <w:rPr>
                <w:rFonts w:ascii="宋体" w:hAnsi="宋体" w:cs="Arial"/>
                <w:szCs w:val="21"/>
              </w:rPr>
              <w:t>≤</w:t>
            </w:r>
            <w:r>
              <w:rPr>
                <w:rFonts w:ascii="宋体" w:hAnsi="宋体" w:cs="Arial"/>
                <w:szCs w:val="21"/>
              </w:rPr>
              <w:sym w:font="Symbol" w:char="00B1"/>
            </w:r>
            <w:r>
              <w:rPr>
                <w:rFonts w:hint="eastAsia" w:ascii="宋体" w:hAnsi="宋体"/>
                <w:szCs w:val="21"/>
              </w:rPr>
              <w:t>1% F.S.</w:t>
            </w:r>
          </w:p>
        </w:tc>
      </w:tr>
      <w:tr w14:paraId="3B998937">
        <w:tblPrEx>
          <w:tblCellMar>
            <w:top w:w="0" w:type="dxa"/>
            <w:left w:w="108" w:type="dxa"/>
            <w:bottom w:w="0" w:type="dxa"/>
            <w:right w:w="108" w:type="dxa"/>
          </w:tblCellMar>
        </w:tblPrEx>
        <w:tc>
          <w:tcPr>
            <w:tcW w:w="1548" w:type="dxa"/>
            <w:tcBorders>
              <w:top w:val="nil"/>
              <w:left w:val="nil"/>
              <w:bottom w:val="nil"/>
              <w:right w:val="nil"/>
            </w:tcBorders>
          </w:tcPr>
          <w:p w14:paraId="0E56F2D7">
            <w:pPr>
              <w:autoSpaceDE w:val="0"/>
              <w:autoSpaceDN w:val="0"/>
              <w:adjustRightInd w:val="0"/>
              <w:spacing w:line="360" w:lineRule="auto"/>
              <w:jc w:val="center"/>
              <w:rPr>
                <w:rFonts w:ascii="宋体" w:hAnsi="宋体"/>
                <w:szCs w:val="21"/>
              </w:rPr>
            </w:pPr>
            <w:r>
              <w:rPr>
                <w:rFonts w:hint="eastAsia" w:ascii="宋体" w:hAnsi="宋体"/>
                <w:szCs w:val="21"/>
              </w:rPr>
              <w:t>重复性误差</w:t>
            </w:r>
          </w:p>
        </w:tc>
        <w:tc>
          <w:tcPr>
            <w:tcW w:w="7842" w:type="dxa"/>
            <w:tcBorders>
              <w:top w:val="nil"/>
              <w:left w:val="nil"/>
              <w:bottom w:val="nil"/>
              <w:right w:val="nil"/>
            </w:tcBorders>
            <w:vAlign w:val="center"/>
          </w:tcPr>
          <w:p w14:paraId="20000E3E">
            <w:pPr>
              <w:rPr>
                <w:rFonts w:ascii="宋体" w:hAnsi="宋体" w:cs="Arial"/>
                <w:szCs w:val="21"/>
              </w:rPr>
            </w:pPr>
            <w:r>
              <w:rPr>
                <w:rFonts w:hint="eastAsia" w:ascii="宋体" w:hAnsi="宋体"/>
                <w:szCs w:val="21"/>
              </w:rPr>
              <w:t>H2O</w:t>
            </w:r>
            <w:r>
              <w:rPr>
                <w:rFonts w:ascii="宋体" w:hAnsi="宋体" w:cs="Arial"/>
                <w:szCs w:val="21"/>
              </w:rPr>
              <w:t>≤</w:t>
            </w:r>
            <w:r>
              <w:rPr>
                <w:rFonts w:ascii="宋体" w:hAnsi="宋体" w:cs="Arial"/>
                <w:szCs w:val="21"/>
              </w:rPr>
              <w:sym w:font="Symbol" w:char="00B1"/>
            </w:r>
            <w:r>
              <w:rPr>
                <w:rFonts w:hint="eastAsia" w:ascii="宋体" w:hAnsi="宋体"/>
                <w:szCs w:val="21"/>
              </w:rPr>
              <w:t>1% F.S.</w:t>
            </w:r>
          </w:p>
        </w:tc>
      </w:tr>
      <w:tr w14:paraId="03A80ECA">
        <w:tblPrEx>
          <w:tblCellMar>
            <w:top w:w="0" w:type="dxa"/>
            <w:left w:w="108" w:type="dxa"/>
            <w:bottom w:w="0" w:type="dxa"/>
            <w:right w:w="108" w:type="dxa"/>
          </w:tblCellMar>
        </w:tblPrEx>
        <w:tc>
          <w:tcPr>
            <w:tcW w:w="1548" w:type="dxa"/>
            <w:tcBorders>
              <w:top w:val="nil"/>
              <w:left w:val="nil"/>
              <w:bottom w:val="nil"/>
              <w:right w:val="nil"/>
            </w:tcBorders>
          </w:tcPr>
          <w:p w14:paraId="1645DFE6">
            <w:pPr>
              <w:autoSpaceDE w:val="0"/>
              <w:autoSpaceDN w:val="0"/>
              <w:adjustRightInd w:val="0"/>
              <w:spacing w:line="360" w:lineRule="auto"/>
              <w:jc w:val="center"/>
              <w:rPr>
                <w:rFonts w:ascii="宋体" w:hAnsi="宋体"/>
                <w:szCs w:val="21"/>
              </w:rPr>
            </w:pPr>
            <w:r>
              <w:rPr>
                <w:rFonts w:hint="eastAsia" w:ascii="宋体" w:hAnsi="宋体"/>
                <w:szCs w:val="21"/>
              </w:rPr>
              <w:t>零点漂移</w:t>
            </w:r>
          </w:p>
        </w:tc>
        <w:tc>
          <w:tcPr>
            <w:tcW w:w="7842" w:type="dxa"/>
            <w:tcBorders>
              <w:top w:val="nil"/>
              <w:left w:val="nil"/>
              <w:bottom w:val="nil"/>
              <w:right w:val="nil"/>
            </w:tcBorders>
            <w:vAlign w:val="center"/>
          </w:tcPr>
          <w:p w14:paraId="25210B0A">
            <w:pPr>
              <w:rPr>
                <w:rFonts w:ascii="宋体" w:hAnsi="宋体" w:cs="Arial"/>
                <w:szCs w:val="21"/>
              </w:rPr>
            </w:pPr>
            <w:r>
              <w:rPr>
                <w:rFonts w:hint="eastAsia" w:ascii="宋体" w:hAnsi="宋体"/>
                <w:szCs w:val="21"/>
              </w:rPr>
              <w:t>H2O</w:t>
            </w:r>
            <w:r>
              <w:rPr>
                <w:rFonts w:ascii="宋体" w:hAnsi="宋体" w:cs="Arial"/>
                <w:szCs w:val="21"/>
              </w:rPr>
              <w:t>≤</w:t>
            </w:r>
            <w:r>
              <w:rPr>
                <w:rFonts w:ascii="宋体" w:hAnsi="宋体" w:cs="Arial"/>
                <w:szCs w:val="21"/>
              </w:rPr>
              <w:sym w:font="Symbol" w:char="00B1"/>
            </w:r>
            <w:r>
              <w:rPr>
                <w:rFonts w:hint="eastAsia" w:ascii="宋体" w:hAnsi="宋体"/>
                <w:szCs w:val="21"/>
              </w:rPr>
              <w:t>1% F.S.</w:t>
            </w:r>
          </w:p>
        </w:tc>
      </w:tr>
      <w:tr w14:paraId="20E9D6D4">
        <w:tblPrEx>
          <w:tblCellMar>
            <w:top w:w="0" w:type="dxa"/>
            <w:left w:w="108" w:type="dxa"/>
            <w:bottom w:w="0" w:type="dxa"/>
            <w:right w:w="108" w:type="dxa"/>
          </w:tblCellMar>
        </w:tblPrEx>
        <w:tc>
          <w:tcPr>
            <w:tcW w:w="1548" w:type="dxa"/>
            <w:tcBorders>
              <w:top w:val="nil"/>
              <w:left w:val="nil"/>
              <w:bottom w:val="nil"/>
              <w:right w:val="nil"/>
            </w:tcBorders>
          </w:tcPr>
          <w:p w14:paraId="53717DFB">
            <w:pPr>
              <w:autoSpaceDE w:val="0"/>
              <w:autoSpaceDN w:val="0"/>
              <w:adjustRightInd w:val="0"/>
              <w:spacing w:line="360" w:lineRule="auto"/>
              <w:jc w:val="center"/>
              <w:rPr>
                <w:rFonts w:ascii="宋体" w:hAnsi="宋体"/>
                <w:szCs w:val="21"/>
              </w:rPr>
            </w:pPr>
            <w:r>
              <w:rPr>
                <w:rFonts w:hint="eastAsia" w:ascii="宋体" w:hAnsi="宋体"/>
                <w:szCs w:val="21"/>
              </w:rPr>
              <w:t>量程漂移</w:t>
            </w:r>
          </w:p>
        </w:tc>
        <w:tc>
          <w:tcPr>
            <w:tcW w:w="7842" w:type="dxa"/>
            <w:tcBorders>
              <w:top w:val="nil"/>
              <w:left w:val="nil"/>
              <w:bottom w:val="nil"/>
              <w:right w:val="nil"/>
            </w:tcBorders>
            <w:vAlign w:val="center"/>
          </w:tcPr>
          <w:p w14:paraId="2155C644">
            <w:pPr>
              <w:rPr>
                <w:rFonts w:ascii="宋体" w:hAnsi="宋体" w:cs="Arial"/>
                <w:szCs w:val="21"/>
              </w:rPr>
            </w:pPr>
            <w:r>
              <w:rPr>
                <w:rFonts w:hint="eastAsia" w:ascii="宋体" w:hAnsi="宋体"/>
                <w:szCs w:val="21"/>
              </w:rPr>
              <w:t>H2O</w:t>
            </w:r>
            <w:r>
              <w:rPr>
                <w:rFonts w:ascii="宋体" w:hAnsi="宋体" w:cs="Arial"/>
                <w:szCs w:val="21"/>
              </w:rPr>
              <w:t>≤</w:t>
            </w:r>
            <w:r>
              <w:rPr>
                <w:rFonts w:ascii="宋体" w:hAnsi="宋体" w:cs="Arial"/>
                <w:szCs w:val="21"/>
              </w:rPr>
              <w:sym w:font="Symbol" w:char="00B1"/>
            </w:r>
            <w:r>
              <w:rPr>
                <w:rFonts w:hint="eastAsia" w:ascii="宋体" w:hAnsi="宋体"/>
                <w:szCs w:val="21"/>
              </w:rPr>
              <w:t>1% F.S.</w:t>
            </w:r>
          </w:p>
        </w:tc>
      </w:tr>
      <w:tr w14:paraId="4ACD91A6">
        <w:tblPrEx>
          <w:tblCellMar>
            <w:top w:w="0" w:type="dxa"/>
            <w:left w:w="108" w:type="dxa"/>
            <w:bottom w:w="0" w:type="dxa"/>
            <w:right w:w="108" w:type="dxa"/>
          </w:tblCellMar>
        </w:tblPrEx>
        <w:tc>
          <w:tcPr>
            <w:tcW w:w="1548" w:type="dxa"/>
            <w:tcBorders>
              <w:top w:val="nil"/>
              <w:left w:val="nil"/>
              <w:bottom w:val="nil"/>
              <w:right w:val="nil"/>
            </w:tcBorders>
          </w:tcPr>
          <w:p w14:paraId="2A6E0D5A">
            <w:pPr>
              <w:autoSpaceDE w:val="0"/>
              <w:autoSpaceDN w:val="0"/>
              <w:adjustRightInd w:val="0"/>
              <w:spacing w:line="360" w:lineRule="auto"/>
              <w:jc w:val="center"/>
              <w:rPr>
                <w:rFonts w:ascii="宋体" w:hAnsi="宋体"/>
                <w:szCs w:val="21"/>
              </w:rPr>
            </w:pPr>
            <w:r>
              <w:rPr>
                <w:rFonts w:hint="eastAsia" w:ascii="宋体" w:hAnsi="宋体"/>
                <w:szCs w:val="21"/>
              </w:rPr>
              <w:t>预热时间</w:t>
            </w:r>
          </w:p>
        </w:tc>
        <w:tc>
          <w:tcPr>
            <w:tcW w:w="7842" w:type="dxa"/>
            <w:tcBorders>
              <w:top w:val="nil"/>
              <w:left w:val="nil"/>
              <w:bottom w:val="nil"/>
              <w:right w:val="nil"/>
            </w:tcBorders>
          </w:tcPr>
          <w:p w14:paraId="029E8B55">
            <w:pPr>
              <w:autoSpaceDE w:val="0"/>
              <w:autoSpaceDN w:val="0"/>
              <w:adjustRightInd w:val="0"/>
              <w:spacing w:line="360" w:lineRule="auto"/>
              <w:rPr>
                <w:rFonts w:ascii="宋体" w:hAnsi="宋体"/>
                <w:szCs w:val="21"/>
              </w:rPr>
            </w:pPr>
            <w:r>
              <w:rPr>
                <w:rFonts w:hint="eastAsia" w:ascii="宋体" w:hAnsi="宋体"/>
                <w:szCs w:val="21"/>
              </w:rPr>
              <w:t>15min</w:t>
            </w:r>
          </w:p>
        </w:tc>
      </w:tr>
      <w:tr w14:paraId="4AA0F84D">
        <w:tblPrEx>
          <w:tblCellMar>
            <w:top w:w="0" w:type="dxa"/>
            <w:left w:w="108" w:type="dxa"/>
            <w:bottom w:w="0" w:type="dxa"/>
            <w:right w:w="108" w:type="dxa"/>
          </w:tblCellMar>
        </w:tblPrEx>
        <w:tc>
          <w:tcPr>
            <w:tcW w:w="1548" w:type="dxa"/>
            <w:tcBorders>
              <w:top w:val="nil"/>
              <w:left w:val="nil"/>
              <w:bottom w:val="nil"/>
              <w:right w:val="nil"/>
            </w:tcBorders>
          </w:tcPr>
          <w:p w14:paraId="14657E3C">
            <w:pPr>
              <w:autoSpaceDE w:val="0"/>
              <w:autoSpaceDN w:val="0"/>
              <w:adjustRightInd w:val="0"/>
              <w:spacing w:line="360" w:lineRule="auto"/>
              <w:jc w:val="center"/>
              <w:rPr>
                <w:rFonts w:ascii="宋体" w:hAnsi="宋体"/>
                <w:szCs w:val="21"/>
              </w:rPr>
            </w:pPr>
            <w:r>
              <w:rPr>
                <w:rFonts w:hint="eastAsia" w:ascii="宋体" w:hAnsi="宋体"/>
                <w:szCs w:val="21"/>
              </w:rPr>
              <w:t>模拟量输出</w:t>
            </w:r>
          </w:p>
        </w:tc>
        <w:tc>
          <w:tcPr>
            <w:tcW w:w="7842" w:type="dxa"/>
            <w:tcBorders>
              <w:top w:val="nil"/>
              <w:left w:val="nil"/>
              <w:bottom w:val="nil"/>
              <w:right w:val="nil"/>
            </w:tcBorders>
          </w:tcPr>
          <w:p w14:paraId="1942C001">
            <w:pPr>
              <w:autoSpaceDE w:val="0"/>
              <w:autoSpaceDN w:val="0"/>
              <w:adjustRightInd w:val="0"/>
              <w:spacing w:line="360" w:lineRule="auto"/>
              <w:rPr>
                <w:rFonts w:ascii="宋体" w:hAnsi="宋体"/>
                <w:szCs w:val="21"/>
              </w:rPr>
            </w:pPr>
            <w:r>
              <w:rPr>
                <w:rFonts w:ascii="宋体" w:hAnsi="宋体" w:cs="Arial"/>
                <w:szCs w:val="21"/>
                <w:lang w:val="zh-CN"/>
              </w:rPr>
              <w:t>2路4</w:t>
            </w:r>
            <w:r>
              <w:rPr>
                <w:rFonts w:ascii="宋体" w:hAnsi="宋体" w:cs="Arial"/>
                <w:szCs w:val="21"/>
              </w:rPr>
              <w:t>～</w:t>
            </w:r>
            <w:r>
              <w:rPr>
                <w:rFonts w:ascii="宋体" w:hAnsi="宋体" w:cs="Arial"/>
                <w:szCs w:val="21"/>
                <w:lang w:val="zh-CN"/>
              </w:rPr>
              <w:t>20mA电流（隔离、最大负载750Ω）</w:t>
            </w:r>
          </w:p>
        </w:tc>
      </w:tr>
      <w:tr w14:paraId="0D30FE86">
        <w:tblPrEx>
          <w:tblCellMar>
            <w:top w:w="0" w:type="dxa"/>
            <w:left w:w="108" w:type="dxa"/>
            <w:bottom w:w="0" w:type="dxa"/>
            <w:right w:w="108" w:type="dxa"/>
          </w:tblCellMar>
        </w:tblPrEx>
        <w:tc>
          <w:tcPr>
            <w:tcW w:w="1548" w:type="dxa"/>
            <w:tcBorders>
              <w:top w:val="nil"/>
              <w:left w:val="nil"/>
              <w:bottom w:val="nil"/>
              <w:right w:val="nil"/>
            </w:tcBorders>
          </w:tcPr>
          <w:p w14:paraId="184703E1">
            <w:pPr>
              <w:autoSpaceDE w:val="0"/>
              <w:autoSpaceDN w:val="0"/>
              <w:adjustRightInd w:val="0"/>
              <w:spacing w:line="360" w:lineRule="auto"/>
              <w:jc w:val="center"/>
              <w:rPr>
                <w:rFonts w:ascii="宋体" w:hAnsi="宋体"/>
                <w:szCs w:val="21"/>
              </w:rPr>
            </w:pPr>
            <w:r>
              <w:rPr>
                <w:rFonts w:hint="eastAsia" w:ascii="宋体" w:hAnsi="宋体"/>
                <w:szCs w:val="21"/>
              </w:rPr>
              <w:t>继电器输出</w:t>
            </w:r>
          </w:p>
        </w:tc>
        <w:tc>
          <w:tcPr>
            <w:tcW w:w="7842" w:type="dxa"/>
            <w:tcBorders>
              <w:top w:val="nil"/>
              <w:left w:val="nil"/>
              <w:bottom w:val="nil"/>
              <w:right w:val="nil"/>
            </w:tcBorders>
            <w:vAlign w:val="center"/>
          </w:tcPr>
          <w:p w14:paraId="00744954">
            <w:pPr>
              <w:autoSpaceDE w:val="0"/>
              <w:autoSpaceDN w:val="0"/>
              <w:adjustRightInd w:val="0"/>
              <w:spacing w:line="360" w:lineRule="auto"/>
              <w:rPr>
                <w:rFonts w:ascii="宋体" w:hAnsi="宋体"/>
                <w:szCs w:val="21"/>
              </w:rPr>
            </w:pPr>
            <w:r>
              <w:rPr>
                <w:rFonts w:hint="eastAsia" w:ascii="宋体" w:hAnsi="宋体"/>
                <w:szCs w:val="21"/>
              </w:rPr>
              <w:t>两路</w:t>
            </w:r>
            <w:r>
              <w:rPr>
                <w:rFonts w:ascii="宋体" w:hAnsi="宋体"/>
                <w:szCs w:val="21"/>
              </w:rPr>
              <w:t>，干接点</w:t>
            </w:r>
            <w:r>
              <w:rPr>
                <w:rFonts w:hint="eastAsia" w:ascii="宋体" w:hAnsi="宋体"/>
                <w:szCs w:val="21"/>
              </w:rPr>
              <w:t>；仪器状态</w:t>
            </w:r>
          </w:p>
        </w:tc>
      </w:tr>
      <w:tr w14:paraId="0798E40F">
        <w:tblPrEx>
          <w:tblCellMar>
            <w:top w:w="0" w:type="dxa"/>
            <w:left w:w="108" w:type="dxa"/>
            <w:bottom w:w="0" w:type="dxa"/>
            <w:right w:w="108" w:type="dxa"/>
          </w:tblCellMar>
        </w:tblPrEx>
        <w:tc>
          <w:tcPr>
            <w:tcW w:w="1548" w:type="dxa"/>
            <w:tcBorders>
              <w:top w:val="nil"/>
              <w:left w:val="nil"/>
              <w:bottom w:val="nil"/>
              <w:right w:val="nil"/>
            </w:tcBorders>
          </w:tcPr>
          <w:p w14:paraId="439FD075">
            <w:pPr>
              <w:autoSpaceDE w:val="0"/>
              <w:autoSpaceDN w:val="0"/>
              <w:adjustRightInd w:val="0"/>
              <w:spacing w:line="360" w:lineRule="auto"/>
              <w:jc w:val="center"/>
              <w:rPr>
                <w:rFonts w:ascii="宋体" w:hAnsi="宋体"/>
                <w:szCs w:val="21"/>
              </w:rPr>
            </w:pPr>
            <w:r>
              <w:rPr>
                <w:rFonts w:ascii="宋体" w:hAnsi="宋体"/>
                <w:szCs w:val="21"/>
              </w:rPr>
              <w:t>数字通讯</w:t>
            </w:r>
          </w:p>
        </w:tc>
        <w:tc>
          <w:tcPr>
            <w:tcW w:w="7842" w:type="dxa"/>
            <w:tcBorders>
              <w:top w:val="nil"/>
              <w:left w:val="nil"/>
              <w:bottom w:val="nil"/>
              <w:right w:val="nil"/>
            </w:tcBorders>
          </w:tcPr>
          <w:p w14:paraId="6F936FD0">
            <w:pPr>
              <w:autoSpaceDE w:val="0"/>
              <w:autoSpaceDN w:val="0"/>
              <w:adjustRightInd w:val="0"/>
              <w:spacing w:line="360" w:lineRule="auto"/>
              <w:rPr>
                <w:rFonts w:ascii="宋体" w:hAnsi="宋体"/>
                <w:szCs w:val="21"/>
              </w:rPr>
            </w:pPr>
            <w:r>
              <w:rPr>
                <w:rFonts w:hint="eastAsia" w:ascii="宋体" w:hAnsi="宋体"/>
                <w:szCs w:val="21"/>
              </w:rPr>
              <w:t>RS485 RS232</w:t>
            </w:r>
          </w:p>
        </w:tc>
      </w:tr>
      <w:tr w14:paraId="73F1CC0B">
        <w:tblPrEx>
          <w:tblCellMar>
            <w:top w:w="0" w:type="dxa"/>
            <w:left w:w="108" w:type="dxa"/>
            <w:bottom w:w="0" w:type="dxa"/>
            <w:right w:w="108" w:type="dxa"/>
          </w:tblCellMar>
        </w:tblPrEx>
        <w:tc>
          <w:tcPr>
            <w:tcW w:w="1548" w:type="dxa"/>
            <w:tcBorders>
              <w:top w:val="nil"/>
              <w:left w:val="nil"/>
              <w:bottom w:val="nil"/>
              <w:right w:val="nil"/>
            </w:tcBorders>
          </w:tcPr>
          <w:p w14:paraId="5D1A6E6F">
            <w:pPr>
              <w:autoSpaceDE w:val="0"/>
              <w:autoSpaceDN w:val="0"/>
              <w:adjustRightInd w:val="0"/>
              <w:spacing w:line="360" w:lineRule="auto"/>
              <w:jc w:val="center"/>
              <w:rPr>
                <w:rFonts w:ascii="宋体" w:hAnsi="宋体"/>
                <w:szCs w:val="21"/>
              </w:rPr>
            </w:pPr>
            <w:r>
              <w:rPr>
                <w:rFonts w:hint="eastAsia" w:ascii="宋体" w:hAnsi="宋体"/>
                <w:szCs w:val="21"/>
              </w:rPr>
              <w:t>工作电源</w:t>
            </w:r>
          </w:p>
        </w:tc>
        <w:tc>
          <w:tcPr>
            <w:tcW w:w="7842" w:type="dxa"/>
            <w:tcBorders>
              <w:top w:val="nil"/>
              <w:left w:val="nil"/>
              <w:bottom w:val="nil"/>
              <w:right w:val="nil"/>
            </w:tcBorders>
          </w:tcPr>
          <w:p w14:paraId="09292141">
            <w:pPr>
              <w:autoSpaceDE w:val="0"/>
              <w:autoSpaceDN w:val="0"/>
              <w:adjustRightInd w:val="0"/>
              <w:spacing w:line="360" w:lineRule="auto"/>
              <w:rPr>
                <w:rFonts w:ascii="宋体" w:hAnsi="宋体"/>
                <w:szCs w:val="21"/>
              </w:rPr>
            </w:pPr>
            <w:r>
              <w:rPr>
                <w:rFonts w:hint="eastAsia" w:ascii="宋体" w:hAnsi="宋体"/>
                <w:szCs w:val="21"/>
              </w:rPr>
              <w:t>220VAC</w:t>
            </w:r>
          </w:p>
        </w:tc>
      </w:tr>
      <w:tr w14:paraId="108BDB8A">
        <w:tblPrEx>
          <w:tblCellMar>
            <w:top w:w="0" w:type="dxa"/>
            <w:left w:w="108" w:type="dxa"/>
            <w:bottom w:w="0" w:type="dxa"/>
            <w:right w:w="108" w:type="dxa"/>
          </w:tblCellMar>
        </w:tblPrEx>
        <w:tc>
          <w:tcPr>
            <w:tcW w:w="1548" w:type="dxa"/>
            <w:tcBorders>
              <w:top w:val="nil"/>
              <w:left w:val="nil"/>
              <w:bottom w:val="nil"/>
              <w:right w:val="nil"/>
            </w:tcBorders>
          </w:tcPr>
          <w:p w14:paraId="0DCAA544">
            <w:pPr>
              <w:autoSpaceDE w:val="0"/>
              <w:autoSpaceDN w:val="0"/>
              <w:adjustRightInd w:val="0"/>
              <w:spacing w:line="360" w:lineRule="auto"/>
              <w:jc w:val="center"/>
              <w:rPr>
                <w:rFonts w:ascii="宋体" w:hAnsi="宋体"/>
                <w:szCs w:val="21"/>
              </w:rPr>
            </w:pPr>
            <w:r>
              <w:rPr>
                <w:rFonts w:ascii="宋体" w:hAnsi="宋体" w:cs="Arial"/>
                <w:szCs w:val="21"/>
                <w:lang w:val="zh-CN"/>
              </w:rPr>
              <w:t>环境温度</w:t>
            </w:r>
          </w:p>
        </w:tc>
        <w:tc>
          <w:tcPr>
            <w:tcW w:w="7842" w:type="dxa"/>
            <w:tcBorders>
              <w:top w:val="nil"/>
              <w:left w:val="nil"/>
              <w:bottom w:val="nil"/>
              <w:right w:val="nil"/>
            </w:tcBorders>
          </w:tcPr>
          <w:p w14:paraId="45A682D6">
            <w:pPr>
              <w:autoSpaceDE w:val="0"/>
              <w:autoSpaceDN w:val="0"/>
              <w:adjustRightInd w:val="0"/>
              <w:spacing w:line="360" w:lineRule="auto"/>
              <w:rPr>
                <w:rFonts w:ascii="宋体" w:hAnsi="宋体"/>
                <w:szCs w:val="21"/>
              </w:rPr>
            </w:pPr>
            <w:r>
              <w:rPr>
                <w:rFonts w:ascii="宋体" w:hAnsi="宋体" w:cs="Arial"/>
                <w:szCs w:val="21"/>
                <w:lang w:val="zh-CN"/>
              </w:rPr>
              <w:t>-30</w:t>
            </w:r>
            <w:r>
              <w:rPr>
                <w:rFonts w:hint="eastAsia" w:ascii="宋体" w:hAnsi="宋体" w:cs="宋体"/>
                <w:szCs w:val="21"/>
                <w:lang w:val="zh-CN"/>
              </w:rPr>
              <w:t>℃</w:t>
            </w:r>
            <w:r>
              <w:rPr>
                <w:rFonts w:ascii="宋体" w:hAnsi="宋体" w:cs="Arial"/>
                <w:szCs w:val="21"/>
              </w:rPr>
              <w:t>～</w:t>
            </w:r>
            <w:r>
              <w:rPr>
                <w:rFonts w:ascii="宋体" w:hAnsi="宋体" w:cs="Arial"/>
                <w:szCs w:val="21"/>
                <w:lang w:val="zh-CN"/>
              </w:rPr>
              <w:t>60</w:t>
            </w:r>
            <w:r>
              <w:rPr>
                <w:rFonts w:hint="eastAsia" w:ascii="宋体" w:hAnsi="宋体" w:cs="宋体"/>
                <w:szCs w:val="21"/>
                <w:lang w:val="zh-CN"/>
              </w:rPr>
              <w:t>℃</w:t>
            </w:r>
          </w:p>
        </w:tc>
      </w:tr>
      <w:tr w14:paraId="343E1C1D">
        <w:tblPrEx>
          <w:tblCellMar>
            <w:top w:w="0" w:type="dxa"/>
            <w:left w:w="108" w:type="dxa"/>
            <w:bottom w:w="0" w:type="dxa"/>
            <w:right w:w="108" w:type="dxa"/>
          </w:tblCellMar>
        </w:tblPrEx>
        <w:tc>
          <w:tcPr>
            <w:tcW w:w="1548" w:type="dxa"/>
            <w:tcBorders>
              <w:top w:val="nil"/>
              <w:left w:val="nil"/>
              <w:bottom w:val="nil"/>
              <w:right w:val="nil"/>
            </w:tcBorders>
          </w:tcPr>
          <w:p w14:paraId="05F09B21">
            <w:pPr>
              <w:autoSpaceDE w:val="0"/>
              <w:autoSpaceDN w:val="0"/>
              <w:adjustRightInd w:val="0"/>
              <w:spacing w:line="360" w:lineRule="auto"/>
              <w:jc w:val="center"/>
              <w:rPr>
                <w:rFonts w:ascii="宋体" w:hAnsi="宋体"/>
                <w:szCs w:val="21"/>
              </w:rPr>
            </w:pPr>
            <w:r>
              <w:rPr>
                <w:rFonts w:hint="eastAsia" w:ascii="宋体" w:hAnsi="宋体"/>
                <w:szCs w:val="21"/>
              </w:rPr>
              <w:t>功    率</w:t>
            </w:r>
          </w:p>
        </w:tc>
        <w:tc>
          <w:tcPr>
            <w:tcW w:w="7842" w:type="dxa"/>
            <w:tcBorders>
              <w:top w:val="nil"/>
              <w:left w:val="nil"/>
              <w:bottom w:val="nil"/>
              <w:right w:val="nil"/>
            </w:tcBorders>
          </w:tcPr>
          <w:p w14:paraId="1B4C4D3B">
            <w:pPr>
              <w:autoSpaceDE w:val="0"/>
              <w:autoSpaceDN w:val="0"/>
              <w:adjustRightInd w:val="0"/>
              <w:spacing w:line="360" w:lineRule="auto"/>
              <w:rPr>
                <w:rFonts w:ascii="宋体" w:hAnsi="宋体"/>
                <w:szCs w:val="21"/>
              </w:rPr>
            </w:pPr>
            <w:r>
              <w:rPr>
                <w:rFonts w:hint="eastAsia" w:ascii="宋体" w:hAnsi="宋体"/>
                <w:szCs w:val="21"/>
              </w:rPr>
              <w:t>≤30W</w:t>
            </w:r>
          </w:p>
        </w:tc>
      </w:tr>
      <w:tr w14:paraId="74826605">
        <w:tblPrEx>
          <w:tblCellMar>
            <w:top w:w="0" w:type="dxa"/>
            <w:left w:w="108" w:type="dxa"/>
            <w:bottom w:w="0" w:type="dxa"/>
            <w:right w:w="108" w:type="dxa"/>
          </w:tblCellMar>
        </w:tblPrEx>
        <w:tc>
          <w:tcPr>
            <w:tcW w:w="1548" w:type="dxa"/>
            <w:tcBorders>
              <w:top w:val="nil"/>
              <w:left w:val="nil"/>
              <w:bottom w:val="nil"/>
              <w:right w:val="nil"/>
            </w:tcBorders>
          </w:tcPr>
          <w:p w14:paraId="2AD71387">
            <w:pPr>
              <w:autoSpaceDE w:val="0"/>
              <w:autoSpaceDN w:val="0"/>
              <w:adjustRightInd w:val="0"/>
              <w:spacing w:line="360" w:lineRule="auto"/>
              <w:jc w:val="center"/>
              <w:rPr>
                <w:rFonts w:ascii="宋体" w:hAnsi="宋体" w:cs="Arial"/>
                <w:szCs w:val="21"/>
                <w:lang w:val="zh-CN"/>
              </w:rPr>
            </w:pPr>
            <w:r>
              <w:rPr>
                <w:rFonts w:hint="eastAsia" w:ascii="宋体" w:hAnsi="宋体" w:cs="Arial"/>
                <w:szCs w:val="21"/>
                <w:lang w:val="zh-CN"/>
              </w:rPr>
              <w:t>防爆等级</w:t>
            </w:r>
          </w:p>
        </w:tc>
        <w:tc>
          <w:tcPr>
            <w:tcW w:w="7842" w:type="dxa"/>
            <w:tcBorders>
              <w:top w:val="nil"/>
              <w:left w:val="nil"/>
              <w:bottom w:val="nil"/>
              <w:right w:val="nil"/>
            </w:tcBorders>
          </w:tcPr>
          <w:p w14:paraId="036A08ED">
            <w:pPr>
              <w:autoSpaceDE w:val="0"/>
              <w:autoSpaceDN w:val="0"/>
              <w:adjustRightInd w:val="0"/>
              <w:spacing w:line="360" w:lineRule="auto"/>
              <w:rPr>
                <w:rFonts w:ascii="宋体" w:hAnsi="宋体" w:cs="Arial"/>
                <w:szCs w:val="21"/>
                <w:lang w:val="zh-CN"/>
              </w:rPr>
            </w:pPr>
            <w:r>
              <w:rPr>
                <w:rFonts w:hint="eastAsia" w:ascii="宋体" w:hAnsi="宋体" w:cs="Arial"/>
                <w:szCs w:val="21"/>
                <w:lang w:val="zh-CN"/>
              </w:rPr>
              <w:t>Exd opis px IICT5</w:t>
            </w:r>
          </w:p>
        </w:tc>
      </w:tr>
      <w:tr w14:paraId="40BBBC78">
        <w:tblPrEx>
          <w:tblCellMar>
            <w:top w:w="0" w:type="dxa"/>
            <w:left w:w="108" w:type="dxa"/>
            <w:bottom w:w="0" w:type="dxa"/>
            <w:right w:w="108" w:type="dxa"/>
          </w:tblCellMar>
        </w:tblPrEx>
        <w:tc>
          <w:tcPr>
            <w:tcW w:w="1548" w:type="dxa"/>
            <w:tcBorders>
              <w:top w:val="nil"/>
              <w:left w:val="nil"/>
              <w:bottom w:val="nil"/>
              <w:right w:val="nil"/>
            </w:tcBorders>
          </w:tcPr>
          <w:p w14:paraId="21FD8F37">
            <w:pPr>
              <w:autoSpaceDE w:val="0"/>
              <w:autoSpaceDN w:val="0"/>
              <w:adjustRightInd w:val="0"/>
              <w:spacing w:line="360" w:lineRule="auto"/>
              <w:jc w:val="center"/>
              <w:rPr>
                <w:rFonts w:ascii="宋体" w:hAnsi="宋体" w:cs="Arial"/>
                <w:szCs w:val="21"/>
                <w:lang w:val="zh-CN"/>
              </w:rPr>
            </w:pPr>
            <w:r>
              <w:rPr>
                <w:rFonts w:hint="eastAsia" w:ascii="宋体" w:hAnsi="宋体" w:cs="Arial"/>
                <w:szCs w:val="21"/>
                <w:lang w:val="zh-CN"/>
              </w:rPr>
              <w:t>防护等级</w:t>
            </w:r>
          </w:p>
        </w:tc>
        <w:tc>
          <w:tcPr>
            <w:tcW w:w="7842" w:type="dxa"/>
            <w:tcBorders>
              <w:top w:val="nil"/>
              <w:left w:val="nil"/>
              <w:bottom w:val="nil"/>
              <w:right w:val="nil"/>
            </w:tcBorders>
          </w:tcPr>
          <w:p w14:paraId="2A24A3D4">
            <w:pPr>
              <w:autoSpaceDE w:val="0"/>
              <w:autoSpaceDN w:val="0"/>
              <w:adjustRightInd w:val="0"/>
              <w:spacing w:line="360" w:lineRule="auto"/>
              <w:rPr>
                <w:rFonts w:ascii="宋体" w:hAnsi="宋体" w:cs="Arial"/>
                <w:szCs w:val="21"/>
                <w:lang w:val="zh-CN"/>
              </w:rPr>
            </w:pPr>
            <w:r>
              <w:rPr>
                <w:rFonts w:hint="eastAsia" w:ascii="宋体" w:hAnsi="宋体" w:cs="Arial"/>
                <w:szCs w:val="21"/>
                <w:lang w:val="zh-CN"/>
              </w:rPr>
              <w:t>IP65</w:t>
            </w:r>
          </w:p>
        </w:tc>
      </w:tr>
    </w:tbl>
    <w:p w14:paraId="5323DE90">
      <w:pPr>
        <w:spacing w:line="360" w:lineRule="auto"/>
        <w:rPr>
          <w:rFonts w:ascii="宋体" w:hAnsi="宋体"/>
          <w:sz w:val="24"/>
          <w:u w:val="single"/>
        </w:rPr>
      </w:pPr>
      <w:bookmarkStart w:id="0" w:name="_GoBack"/>
      <w:bookmarkEnd w:id="0"/>
    </w:p>
    <w:p w14:paraId="1F6E5564">
      <w:pPr>
        <w:spacing w:line="360" w:lineRule="auto"/>
        <w:rPr>
          <w:rFonts w:ascii="宋体" w:hAnsi="宋体"/>
          <w:sz w:val="24"/>
          <w:u w:val="single"/>
        </w:rPr>
      </w:pPr>
      <w:r>
        <w:rPr>
          <w:rFonts w:hint="eastAsia" w:ascii="宋体" w:hAnsi="宋体"/>
          <w:sz w:val="24"/>
        </w:rPr>
        <w:t>8、 品牌推荐：</w:t>
      </w:r>
      <w:r>
        <w:rPr>
          <w:rFonts w:hint="eastAsia" w:ascii="宋体" w:hAnsi="宋体"/>
          <w:sz w:val="24"/>
          <w:highlight w:val="yellow"/>
        </w:rPr>
        <w:t>一脉，泽天，泰戈。</w:t>
      </w:r>
    </w:p>
    <w:p w14:paraId="200E7432">
      <w:pPr>
        <w:spacing w:line="360" w:lineRule="auto"/>
        <w:ind w:left="-17" w:leftChars="-8" w:firstLine="17" w:firstLineChars="6"/>
        <w:rPr>
          <w:rFonts w:ascii="宋体" w:hAnsi="宋体" w:cs="宋体"/>
          <w:b/>
          <w:color w:val="FF0000"/>
          <w:sz w:val="28"/>
          <w:szCs w:val="28"/>
        </w:rPr>
      </w:pPr>
      <w:r>
        <w:rPr>
          <w:rFonts w:hint="eastAsia" w:ascii="宋体" w:hAnsi="宋体" w:cs="宋体"/>
          <w:b/>
          <w:sz w:val="28"/>
          <w:szCs w:val="28"/>
        </w:rPr>
        <w:t>9、投标文件要求</w:t>
      </w:r>
    </w:p>
    <w:p w14:paraId="658C5E54">
      <w:pPr>
        <w:spacing w:line="360" w:lineRule="auto"/>
        <w:ind w:left="-17" w:leftChars="-8" w:firstLine="14" w:firstLineChars="6"/>
        <w:rPr>
          <w:sz w:val="24"/>
        </w:rPr>
      </w:pPr>
      <w:r>
        <w:rPr>
          <w:rFonts w:hint="eastAsia"/>
          <w:sz w:val="24"/>
        </w:rPr>
        <w:t>所有文件及图纸应注明项目名称、项目号、设备位号以及设备名称。投标文件中应至少包括以下文件：</w:t>
      </w:r>
    </w:p>
    <w:p w14:paraId="4C78CA99">
      <w:pPr>
        <w:spacing w:line="360" w:lineRule="auto"/>
        <w:rPr>
          <w:b/>
          <w:sz w:val="24"/>
        </w:rPr>
      </w:pPr>
      <w:r>
        <w:rPr>
          <w:rFonts w:hint="eastAsia"/>
          <w:b/>
          <w:sz w:val="24"/>
        </w:rPr>
        <w:t>9.1供应商必须提供所供产品防爆等级不低于IIC T5，且具有本质安全型光辐射防爆认证（防爆认证标识为op is），提供许可范围内认证机构的防爆认证证书，包括：国家级仪器仪表防爆安全监督检验站（NEPSI）、国家防爆电气产品质量监督检验中心（CQST）。</w:t>
      </w:r>
    </w:p>
    <w:p w14:paraId="3EE7CBE1">
      <w:pPr>
        <w:spacing w:line="360" w:lineRule="auto"/>
        <w:rPr>
          <w:b/>
          <w:sz w:val="24"/>
        </w:rPr>
      </w:pPr>
      <w:r>
        <w:rPr>
          <w:rFonts w:hint="eastAsia"/>
          <w:b/>
          <w:sz w:val="24"/>
        </w:rPr>
        <w:t>9.2供应商所供产品必须经过IEC60825-1激光安全等级认证（认证等级为Class1），须提供认证报告。</w:t>
      </w:r>
    </w:p>
    <w:p w14:paraId="77C5EE96">
      <w:pPr>
        <w:spacing w:line="360" w:lineRule="auto"/>
        <w:rPr>
          <w:b/>
          <w:sz w:val="24"/>
        </w:rPr>
      </w:pPr>
      <w:r>
        <w:rPr>
          <w:rFonts w:hint="eastAsia"/>
          <w:b/>
          <w:sz w:val="24"/>
        </w:rPr>
        <w:t>10、主要技术参数：</w:t>
      </w:r>
    </w:p>
    <w:p w14:paraId="01FBB0D5">
      <w:pPr>
        <w:spacing w:line="360" w:lineRule="auto"/>
        <w:rPr>
          <w:b/>
          <w:sz w:val="24"/>
        </w:rPr>
      </w:pPr>
      <w:r>
        <w:rPr>
          <w:rFonts w:hint="eastAsia"/>
          <w:b/>
          <w:sz w:val="24"/>
        </w:rPr>
        <w:t>测量介质：氯气含微量水。</w:t>
      </w:r>
    </w:p>
    <w:p w14:paraId="1F1D1530">
      <w:pPr>
        <w:spacing w:line="360" w:lineRule="auto"/>
        <w:rPr>
          <w:b/>
          <w:sz w:val="24"/>
        </w:rPr>
      </w:pPr>
      <w:r>
        <w:rPr>
          <w:rFonts w:hint="eastAsia"/>
          <w:b/>
          <w:sz w:val="24"/>
        </w:rPr>
        <w:t>测量量程：水0～300ppm。</w:t>
      </w:r>
    </w:p>
    <w:p w14:paraId="06A54A63">
      <w:pPr>
        <w:spacing w:line="360" w:lineRule="auto"/>
        <w:rPr>
          <w:b/>
          <w:sz w:val="24"/>
        </w:rPr>
      </w:pPr>
      <w:r>
        <w:rPr>
          <w:rFonts w:hint="eastAsia"/>
          <w:b/>
          <w:sz w:val="24"/>
        </w:rPr>
        <w:t>测量精度：±2%FS。</w:t>
      </w:r>
    </w:p>
    <w:p w14:paraId="1429FA9E">
      <w:pPr>
        <w:spacing w:line="360" w:lineRule="auto"/>
        <w:rPr>
          <w:b/>
          <w:sz w:val="24"/>
        </w:rPr>
      </w:pPr>
      <w:r>
        <w:rPr>
          <w:rFonts w:hint="eastAsia"/>
          <w:b/>
          <w:sz w:val="24"/>
        </w:rPr>
        <w:t>稳定性：±1％F.S/6个月。</w:t>
      </w:r>
    </w:p>
    <w:p w14:paraId="03A8B553">
      <w:pPr>
        <w:spacing w:line="360" w:lineRule="auto"/>
        <w:rPr>
          <w:b/>
          <w:sz w:val="24"/>
        </w:rPr>
      </w:pPr>
      <w:r>
        <w:rPr>
          <w:rFonts w:hint="eastAsia"/>
          <w:b/>
          <w:sz w:val="24"/>
        </w:rPr>
        <w:t xml:space="preserve"> 响应时间：&lt;60s。</w:t>
      </w:r>
    </w:p>
    <w:p w14:paraId="6B334B4F">
      <w:pPr>
        <w:spacing w:line="360" w:lineRule="auto"/>
        <w:rPr>
          <w:b/>
          <w:sz w:val="24"/>
        </w:rPr>
      </w:pPr>
      <w:r>
        <w:rPr>
          <w:rFonts w:hint="eastAsia"/>
          <w:b/>
          <w:sz w:val="24"/>
        </w:rPr>
        <w:t xml:space="preserve"> 输出信号：4～20mADC。</w:t>
      </w:r>
    </w:p>
    <w:p w14:paraId="51445BF9">
      <w:pPr>
        <w:spacing w:line="360" w:lineRule="auto"/>
        <w:rPr>
          <w:b/>
          <w:sz w:val="24"/>
        </w:rPr>
      </w:pPr>
      <w:r>
        <w:rPr>
          <w:rFonts w:hint="eastAsia"/>
          <w:b/>
          <w:sz w:val="24"/>
        </w:rPr>
        <w:t xml:space="preserve"> 供电电源：220VAC，50Hz。</w:t>
      </w:r>
    </w:p>
    <w:p w14:paraId="23071637">
      <w:pPr>
        <w:spacing w:line="360" w:lineRule="auto"/>
        <w:rPr>
          <w:b/>
          <w:sz w:val="24"/>
        </w:rPr>
      </w:pPr>
      <w:r>
        <w:rPr>
          <w:rFonts w:hint="eastAsia"/>
          <w:b/>
          <w:sz w:val="24"/>
        </w:rPr>
        <w:t>防爆等级：不低于Ex px IICT5 Gb。</w:t>
      </w:r>
    </w:p>
    <w:p w14:paraId="6736FE4D">
      <w:pPr>
        <w:spacing w:line="360" w:lineRule="auto"/>
        <w:rPr>
          <w:b/>
          <w:sz w:val="24"/>
        </w:rPr>
      </w:pPr>
      <w:r>
        <w:rPr>
          <w:rFonts w:hint="eastAsia"/>
          <w:b/>
          <w:sz w:val="24"/>
        </w:rPr>
        <w:t>防护等级：不低于IP65。</w:t>
      </w:r>
    </w:p>
    <w:p w14:paraId="2ED384CD">
      <w:pPr>
        <w:spacing w:line="360" w:lineRule="auto"/>
        <w:rPr>
          <w:b/>
          <w:sz w:val="24"/>
        </w:rPr>
      </w:pPr>
      <w:r>
        <w:rPr>
          <w:rFonts w:hint="eastAsia"/>
          <w:b/>
          <w:sz w:val="24"/>
        </w:rPr>
        <w:t>10、样品处理系统：</w:t>
      </w:r>
    </w:p>
    <w:p w14:paraId="0415F884">
      <w:pPr>
        <w:spacing w:line="360" w:lineRule="auto"/>
        <w:rPr>
          <w:b/>
          <w:sz w:val="24"/>
        </w:rPr>
      </w:pPr>
      <w:r>
        <w:rPr>
          <w:rFonts w:hint="eastAsia"/>
          <w:b/>
          <w:sz w:val="24"/>
        </w:rPr>
        <w:t>10.1由于工艺管道中的氯气具有较强的腐蚀性，样品处理系统设计时必须充分考虑载送气体管线、器件、接头等的耐腐性能。</w:t>
      </w:r>
    </w:p>
    <w:p w14:paraId="31F2EF64">
      <w:pPr>
        <w:spacing w:line="360" w:lineRule="auto"/>
        <w:rPr>
          <w:b/>
          <w:sz w:val="24"/>
        </w:rPr>
      </w:pPr>
      <w:r>
        <w:rPr>
          <w:rFonts w:hint="eastAsia"/>
          <w:b/>
          <w:sz w:val="24"/>
        </w:rPr>
        <w:t>10.2为保证分析系统的长周期稳定运行，所有管线均应采用防腐材质，与样气接触管路部件选择哈C耐酸腐蚀材质的产品，保证在含水氯气条件下长期工作，稳定可靠。</w:t>
      </w:r>
    </w:p>
    <w:p w14:paraId="7F51D403">
      <w:pPr>
        <w:spacing w:line="360" w:lineRule="auto"/>
        <w:rPr>
          <w:b/>
          <w:sz w:val="24"/>
        </w:rPr>
      </w:pPr>
      <w:r>
        <w:rPr>
          <w:rFonts w:hint="eastAsia"/>
          <w:b/>
          <w:sz w:val="24"/>
        </w:rPr>
        <w:t>10.3系统应具备温度和压力自动修正功能，能根据实际测量得到的被测气体温度和压力对气体成分测量值进行自动修正。</w:t>
      </w:r>
    </w:p>
    <w:p w14:paraId="4405C2C3">
      <w:pPr>
        <w:spacing w:line="360" w:lineRule="auto"/>
        <w:rPr>
          <w:sz w:val="24"/>
        </w:rPr>
      </w:pPr>
      <w:r>
        <w:rPr>
          <w:rFonts w:hint="eastAsia"/>
          <w:b/>
          <w:sz w:val="24"/>
        </w:rPr>
        <w:t>注意事项：投标方应在投标文件中对其工作和供货范围进行更加详细的说明。不包括以上文件的投标将被视为部分报价。并将可能导致招标方和设计院在评标过程中予以废标。</w:t>
      </w:r>
    </w:p>
    <w:p w14:paraId="2C0D7B5F">
      <w:pPr>
        <w:spacing w:line="360" w:lineRule="auto"/>
        <w:ind w:left="-17" w:leftChars="-8" w:firstLine="17" w:firstLineChars="6"/>
        <w:rPr>
          <w:rFonts w:ascii="宋体" w:hAnsi="宋体" w:cs="宋体"/>
          <w:b/>
          <w:sz w:val="28"/>
          <w:szCs w:val="28"/>
        </w:rPr>
      </w:pPr>
      <w:r>
        <w:rPr>
          <w:rFonts w:hint="eastAsia" w:ascii="宋体" w:hAnsi="宋体" w:cs="宋体"/>
          <w:b/>
          <w:sz w:val="28"/>
          <w:szCs w:val="28"/>
        </w:rPr>
        <w:t>11、工程技术服务</w:t>
      </w:r>
    </w:p>
    <w:p w14:paraId="1C42BEC2">
      <w:pPr>
        <w:numPr>
          <w:ilvl w:val="0"/>
          <w:numId w:val="2"/>
        </w:numPr>
        <w:spacing w:line="360" w:lineRule="auto"/>
        <w:rPr>
          <w:sz w:val="24"/>
        </w:rPr>
      </w:pPr>
      <w:r>
        <w:rPr>
          <w:rFonts w:hint="eastAsia"/>
          <w:sz w:val="24"/>
        </w:rPr>
        <w:t>投标方派员指导现场安装，并配合试运行。</w:t>
      </w:r>
    </w:p>
    <w:p w14:paraId="479CEABF">
      <w:pPr>
        <w:numPr>
          <w:ilvl w:val="0"/>
          <w:numId w:val="2"/>
        </w:numPr>
        <w:spacing w:line="360" w:lineRule="auto"/>
        <w:rPr>
          <w:sz w:val="24"/>
        </w:rPr>
      </w:pPr>
      <w:r>
        <w:rPr>
          <w:rFonts w:hint="eastAsia"/>
          <w:sz w:val="24"/>
        </w:rPr>
        <w:t>投标方所提供的设备材料应包括设备运行、维护、调校的说明书，并对需方人员进行培训，提供详细的培训资料。</w:t>
      </w:r>
    </w:p>
    <w:p w14:paraId="69E68C28">
      <w:pPr>
        <w:numPr>
          <w:ilvl w:val="0"/>
          <w:numId w:val="2"/>
        </w:numPr>
        <w:spacing w:line="360" w:lineRule="auto"/>
        <w:rPr>
          <w:sz w:val="24"/>
        </w:rPr>
      </w:pPr>
      <w:r>
        <w:rPr>
          <w:rFonts w:hint="eastAsia"/>
          <w:sz w:val="24"/>
        </w:rPr>
        <w:t>如果现场需要，供方能48小时内赶到现场并及时处理出现的任何问题。</w:t>
      </w:r>
    </w:p>
    <w:p w14:paraId="4C9BD484">
      <w:pPr>
        <w:numPr>
          <w:ilvl w:val="0"/>
          <w:numId w:val="2"/>
        </w:numPr>
        <w:spacing w:line="360" w:lineRule="auto"/>
        <w:rPr>
          <w:sz w:val="24"/>
        </w:rPr>
      </w:pPr>
      <w:r>
        <w:rPr>
          <w:rFonts w:hint="eastAsia"/>
          <w:sz w:val="24"/>
        </w:rPr>
        <w:t>装箱运输的成套附件，采用同等条件进行包装。</w:t>
      </w:r>
    </w:p>
    <w:p w14:paraId="11349AB5">
      <w:pPr>
        <w:numPr>
          <w:ilvl w:val="0"/>
          <w:numId w:val="2"/>
        </w:numPr>
        <w:spacing w:line="360" w:lineRule="auto"/>
        <w:rPr>
          <w:sz w:val="24"/>
        </w:rPr>
      </w:pPr>
      <w:r>
        <w:rPr>
          <w:rFonts w:hint="eastAsia"/>
          <w:sz w:val="24"/>
        </w:rPr>
        <w:t>装箱的技术条件有：出厂合格证、安装使用说明书、装箱单。装箱单上并应注明：制造厂名称和地址、产品名称和型号、装箱数量、装箱日期、装箱人工号等。</w:t>
      </w:r>
    </w:p>
    <w:p w14:paraId="2A1FC18F">
      <w:pPr>
        <w:numPr>
          <w:ilvl w:val="0"/>
          <w:numId w:val="2"/>
        </w:numPr>
        <w:spacing w:line="360" w:lineRule="auto"/>
        <w:rPr>
          <w:sz w:val="24"/>
        </w:rPr>
      </w:pPr>
      <w:r>
        <w:rPr>
          <w:rFonts w:hint="eastAsia"/>
          <w:sz w:val="24"/>
        </w:rPr>
        <w:t>包装箱内装入的零部件必须有明显的标记与标签，注明部件号、编号、名称及数量，标签所标内容应与装箱单一致。</w:t>
      </w:r>
    </w:p>
    <w:p w14:paraId="1F516072">
      <w:pPr>
        <w:widowControl/>
        <w:numPr>
          <w:ilvl w:val="0"/>
          <w:numId w:val="2"/>
        </w:numPr>
        <w:autoSpaceDE w:val="0"/>
        <w:autoSpaceDN w:val="0"/>
        <w:spacing w:line="360" w:lineRule="auto"/>
        <w:textAlignment w:val="bottom"/>
        <w:rPr>
          <w:sz w:val="24"/>
        </w:rPr>
      </w:pPr>
      <w:r>
        <w:rPr>
          <w:rFonts w:hint="eastAsia"/>
          <w:sz w:val="24"/>
        </w:rPr>
        <w:t>投标方保证所提供的设备满足本装置安全、可靠运行的要求，并对微量水分析仪的设计、制造、供货、实验、装箱、发运、运行调试等过程全面负责。</w:t>
      </w:r>
    </w:p>
    <w:p w14:paraId="0FEDB28F">
      <w:pPr>
        <w:numPr>
          <w:ilvl w:val="0"/>
          <w:numId w:val="2"/>
        </w:numPr>
        <w:spacing w:line="360" w:lineRule="auto"/>
        <w:rPr>
          <w:sz w:val="24"/>
        </w:rPr>
      </w:pPr>
      <w:r>
        <w:rPr>
          <w:rFonts w:hint="eastAsia"/>
          <w:sz w:val="24"/>
        </w:rPr>
        <w:t>保质期为安装调试后一年，保质期内产品出现质量问题，由投标方处理或重新配供。</w:t>
      </w:r>
    </w:p>
    <w:p w14:paraId="2CE7D3D2">
      <w:pPr>
        <w:spacing w:line="360" w:lineRule="auto"/>
        <w:ind w:left="-17" w:leftChars="-8" w:firstLine="17" w:firstLineChars="6"/>
        <w:rPr>
          <w:rFonts w:ascii="宋体" w:hAnsi="宋体" w:cs="宋体"/>
          <w:b/>
          <w:sz w:val="28"/>
          <w:szCs w:val="28"/>
        </w:rPr>
      </w:pPr>
      <w:r>
        <w:rPr>
          <w:rFonts w:hint="eastAsia" w:ascii="宋体" w:hAnsi="宋体" w:cs="宋体"/>
          <w:b/>
          <w:sz w:val="28"/>
          <w:szCs w:val="28"/>
        </w:rPr>
        <w:t>12、供货范围</w:t>
      </w:r>
    </w:p>
    <w:p w14:paraId="54B5D7C9">
      <w:pPr>
        <w:spacing w:line="360" w:lineRule="auto"/>
        <w:ind w:left="-17" w:leftChars="-8" w:firstLine="489" w:firstLineChars="204"/>
        <w:rPr>
          <w:sz w:val="28"/>
          <w:szCs w:val="28"/>
        </w:rPr>
      </w:pPr>
      <w:r>
        <w:rPr>
          <w:rFonts w:hint="eastAsia"/>
          <w:sz w:val="24"/>
        </w:rPr>
        <w:t>投标方提供的微量水分析仪及其附件，以仪表数据表为基础，根据招标方需要提供微量水分析仪设计资料并对其选型和产品质量负责，严格按照仪表数据表供货。</w:t>
      </w:r>
    </w:p>
    <w:p w14:paraId="5F241235">
      <w:pPr>
        <w:spacing w:line="360" w:lineRule="auto"/>
        <w:ind w:left="-17" w:leftChars="-8" w:firstLine="17" w:firstLineChars="6"/>
        <w:rPr>
          <w:rFonts w:ascii="宋体" w:hAnsi="宋体" w:cs="宋体"/>
          <w:b/>
          <w:color w:val="FF0000"/>
          <w:sz w:val="28"/>
          <w:szCs w:val="28"/>
        </w:rPr>
      </w:pPr>
      <w:r>
        <w:rPr>
          <w:rFonts w:hint="eastAsia" w:ascii="宋体" w:hAnsi="宋体" w:cs="宋体"/>
          <w:b/>
          <w:sz w:val="28"/>
          <w:szCs w:val="28"/>
        </w:rPr>
        <w:t>13、交货期</w:t>
      </w:r>
    </w:p>
    <w:p w14:paraId="05DB7371">
      <w:pPr>
        <w:spacing w:line="360" w:lineRule="auto"/>
        <w:ind w:left="-17" w:leftChars="-8" w:firstLine="14" w:firstLineChars="6"/>
        <w:rPr>
          <w:sz w:val="24"/>
        </w:rPr>
      </w:pPr>
      <w:r>
        <w:rPr>
          <w:rFonts w:hint="eastAsia"/>
          <w:sz w:val="24"/>
        </w:rPr>
        <w:t>1）</w:t>
      </w:r>
      <w:r>
        <w:rPr>
          <w:sz w:val="24"/>
        </w:rPr>
        <w:t>设备的交货</w:t>
      </w:r>
      <w:r>
        <w:rPr>
          <w:rFonts w:hint="eastAsia"/>
          <w:sz w:val="24"/>
        </w:rPr>
        <w:t>进度</w:t>
      </w:r>
      <w:r>
        <w:rPr>
          <w:sz w:val="24"/>
        </w:rPr>
        <w:t>要满足工程安装进度的要求。</w:t>
      </w:r>
    </w:p>
    <w:p w14:paraId="4EE87703">
      <w:pPr>
        <w:spacing w:line="360" w:lineRule="auto"/>
        <w:ind w:left="-17" w:leftChars="-8" w:firstLine="14" w:firstLineChars="6"/>
        <w:rPr>
          <w:sz w:val="24"/>
        </w:rPr>
      </w:pPr>
      <w:r>
        <w:rPr>
          <w:rFonts w:hint="eastAsia"/>
          <w:sz w:val="24"/>
        </w:rPr>
        <w:t>2）</w:t>
      </w:r>
      <w:r>
        <w:rPr>
          <w:sz w:val="24"/>
        </w:rPr>
        <w:t>备品备件</w:t>
      </w:r>
      <w:r>
        <w:rPr>
          <w:rFonts w:hint="eastAsia"/>
          <w:sz w:val="24"/>
        </w:rPr>
        <w:t>、随机资料、</w:t>
      </w:r>
      <w:r>
        <w:rPr>
          <w:sz w:val="24"/>
        </w:rPr>
        <w:t>专用工具随</w:t>
      </w:r>
      <w:r>
        <w:rPr>
          <w:rFonts w:hint="eastAsia"/>
          <w:sz w:val="24"/>
        </w:rPr>
        <w:t>在线分析仪</w:t>
      </w:r>
      <w:r>
        <w:rPr>
          <w:sz w:val="24"/>
        </w:rPr>
        <w:t>一起供货。</w:t>
      </w:r>
    </w:p>
    <w:p w14:paraId="472A9A70">
      <w:pPr>
        <w:spacing w:line="360" w:lineRule="auto"/>
        <w:ind w:left="-17" w:leftChars="-8" w:firstLine="14" w:firstLineChars="6"/>
        <w:rPr>
          <w:sz w:val="24"/>
        </w:rPr>
      </w:pPr>
      <w:r>
        <w:rPr>
          <w:rFonts w:hint="eastAsia"/>
          <w:sz w:val="24"/>
        </w:rPr>
        <w:t>3）</w:t>
      </w:r>
      <w:r>
        <w:rPr>
          <w:sz w:val="24"/>
        </w:rPr>
        <w:t>交货</w:t>
      </w:r>
      <w:r>
        <w:rPr>
          <w:rFonts w:hint="eastAsia"/>
          <w:sz w:val="24"/>
        </w:rPr>
        <w:t>时间：</w:t>
      </w:r>
      <w:r>
        <w:rPr>
          <w:rFonts w:hint="eastAsia"/>
          <w:color w:val="000000"/>
          <w:sz w:val="24"/>
        </w:rPr>
        <w:t>合同签订后2个月内交货</w:t>
      </w:r>
      <w:r>
        <w:rPr>
          <w:rFonts w:hint="eastAsia"/>
          <w:sz w:val="24"/>
        </w:rPr>
        <w:t>。</w:t>
      </w:r>
    </w:p>
    <w:p w14:paraId="48738730">
      <w:pPr>
        <w:spacing w:line="360" w:lineRule="auto"/>
        <w:ind w:left="-17" w:leftChars="-8" w:firstLine="14" w:firstLineChars="6"/>
        <w:rPr>
          <w:sz w:val="24"/>
        </w:rPr>
      </w:pPr>
      <w:r>
        <w:rPr>
          <w:rFonts w:hint="eastAsia"/>
          <w:sz w:val="24"/>
        </w:rPr>
        <w:t>4）交货地点：</w:t>
      </w:r>
      <w:r>
        <w:rPr>
          <w:rFonts w:hint="eastAsia" w:ascii="宋体" w:hAnsi="宋体" w:cs="宋体"/>
          <w:color w:val="000000"/>
          <w:sz w:val="24"/>
        </w:rPr>
        <w:t>福建省福州市</w:t>
      </w:r>
      <w:r>
        <w:rPr>
          <w:rFonts w:ascii="宋体" w:hAnsi="宋体" w:cs="宋体"/>
          <w:color w:val="000000"/>
          <w:sz w:val="24"/>
        </w:rPr>
        <w:t>福清</w:t>
      </w:r>
      <w:r>
        <w:rPr>
          <w:rFonts w:hint="eastAsia" w:ascii="宋体" w:hAnsi="宋体" w:cs="宋体"/>
          <w:color w:val="000000"/>
          <w:sz w:val="24"/>
        </w:rPr>
        <w:t>市</w:t>
      </w:r>
      <w:r>
        <w:rPr>
          <w:rFonts w:ascii="宋体" w:hAnsi="宋体" w:cs="宋体"/>
          <w:color w:val="000000"/>
          <w:sz w:val="24"/>
        </w:rPr>
        <w:t>江阴工业集中区</w:t>
      </w:r>
      <w:r>
        <w:rPr>
          <w:rFonts w:hint="eastAsia" w:ascii="宋体" w:hAnsi="宋体" w:cs="宋体"/>
          <w:color w:val="000000"/>
          <w:sz w:val="24"/>
        </w:rPr>
        <w:t>国盛大道3号，</w:t>
      </w:r>
      <w:r>
        <w:rPr>
          <w:rFonts w:ascii="宋体" w:hAnsi="宋体" w:cs="宋体"/>
          <w:color w:val="000000"/>
          <w:sz w:val="24"/>
        </w:rPr>
        <w:t>福建</w:t>
      </w:r>
      <w:r>
        <w:rPr>
          <w:rFonts w:hint="eastAsia" w:ascii="宋体" w:hAnsi="宋体" w:cs="宋体"/>
          <w:color w:val="000000"/>
          <w:sz w:val="24"/>
        </w:rPr>
        <w:t>省</w:t>
      </w:r>
      <w:r>
        <w:rPr>
          <w:rFonts w:ascii="宋体" w:hAnsi="宋体" w:cs="宋体"/>
          <w:color w:val="000000"/>
          <w:sz w:val="24"/>
        </w:rPr>
        <w:t>东南电化</w:t>
      </w:r>
      <w:r>
        <w:rPr>
          <w:rFonts w:hint="eastAsia" w:ascii="宋体" w:hAnsi="宋体" w:cs="宋体"/>
          <w:color w:val="000000"/>
          <w:sz w:val="24"/>
        </w:rPr>
        <w:t>股份有限公司</w:t>
      </w:r>
      <w:r>
        <w:rPr>
          <w:rFonts w:ascii="宋体" w:hAnsi="宋体" w:cs="宋体"/>
          <w:color w:val="000000"/>
          <w:sz w:val="24"/>
        </w:rPr>
        <w:t>厂区装置现场。</w:t>
      </w:r>
    </w:p>
    <w:p w14:paraId="131627BD">
      <w:pPr>
        <w:autoSpaceDE w:val="0"/>
        <w:autoSpaceDN w:val="0"/>
        <w:adjustRightInd w:val="0"/>
        <w:spacing w:line="360" w:lineRule="auto"/>
        <w:ind w:left="-17" w:leftChars="-8" w:firstLine="14" w:firstLineChars="6"/>
        <w:jc w:val="left"/>
        <w:rPr>
          <w:sz w:val="28"/>
          <w:szCs w:val="28"/>
        </w:rPr>
      </w:pPr>
      <w:r>
        <w:rPr>
          <w:rFonts w:hint="eastAsia"/>
          <w:sz w:val="24"/>
        </w:rPr>
        <w:t>5）包装运输：</w:t>
      </w:r>
      <w:r>
        <w:rPr>
          <w:rFonts w:hint="eastAsia" w:ascii="宋体" w:hAnsi="宋体" w:cs="宋体"/>
          <w:kern w:val="0"/>
          <w:sz w:val="24"/>
        </w:rPr>
        <w:t>投标</w:t>
      </w:r>
      <w:r>
        <w:rPr>
          <w:rFonts w:ascii="宋体" w:hAnsi="宋体" w:cs="宋体"/>
          <w:kern w:val="0"/>
          <w:sz w:val="24"/>
        </w:rPr>
        <w:t>方应严格按货物的国家相关标准的“包装、标记、运输及票据须知”的要求对货物进行包装和标识</w:t>
      </w:r>
      <w:r>
        <w:rPr>
          <w:rFonts w:ascii="宋体" w:hAnsi="宋体"/>
          <w:kern w:val="0"/>
          <w:sz w:val="24"/>
        </w:rPr>
        <w:t>(</w:t>
      </w:r>
      <w:r>
        <w:rPr>
          <w:rFonts w:ascii="宋体" w:hAnsi="宋体" w:cs="宋体"/>
          <w:kern w:val="0"/>
          <w:sz w:val="24"/>
        </w:rPr>
        <w:t>备品备件应与设备分别包装</w:t>
      </w:r>
      <w:r>
        <w:rPr>
          <w:rFonts w:ascii="宋体" w:hAnsi="宋体"/>
          <w:kern w:val="0"/>
          <w:sz w:val="24"/>
        </w:rPr>
        <w:t>)</w:t>
      </w:r>
      <w:r>
        <w:rPr>
          <w:rFonts w:ascii="宋体" w:hAnsi="宋体" w:cs="宋体"/>
          <w:kern w:val="0"/>
          <w:sz w:val="24"/>
        </w:rPr>
        <w:t>，保证设备完好无损地运输至</w:t>
      </w:r>
      <w:r>
        <w:rPr>
          <w:rFonts w:hint="eastAsia" w:ascii="宋体" w:hAnsi="宋体" w:cs="宋体"/>
          <w:kern w:val="0"/>
          <w:sz w:val="24"/>
        </w:rPr>
        <w:t>招标</w:t>
      </w:r>
      <w:r>
        <w:rPr>
          <w:rFonts w:ascii="宋体" w:hAnsi="宋体" w:cs="宋体"/>
          <w:kern w:val="0"/>
          <w:sz w:val="24"/>
        </w:rPr>
        <w:t>方的使用现场。随机备件单独包装后放入</w:t>
      </w:r>
      <w:r>
        <w:rPr>
          <w:rFonts w:hint="eastAsia" w:ascii="宋体" w:hAnsi="宋体" w:cs="宋体"/>
          <w:kern w:val="0"/>
          <w:sz w:val="24"/>
        </w:rPr>
        <w:t>在线分析仪</w:t>
      </w:r>
      <w:r>
        <w:rPr>
          <w:rFonts w:ascii="宋体" w:hAnsi="宋体" w:cs="宋体"/>
          <w:kern w:val="0"/>
          <w:sz w:val="24"/>
        </w:rPr>
        <w:t>包装箱内，防止丢失或损坏。</w:t>
      </w:r>
    </w:p>
    <w:p w14:paraId="53FF3555"/>
    <w:p w14:paraId="3BB353A1">
      <w:pPr>
        <w:numPr>
          <w:ilvl w:val="0"/>
          <w:numId w:val="3"/>
        </w:numPr>
        <w:spacing w:line="360" w:lineRule="auto"/>
        <w:ind w:left="-17" w:leftChars="-8" w:firstLine="17" w:firstLineChars="6"/>
        <w:rPr>
          <w:rFonts w:hint="eastAsia" w:ascii="宋体" w:hAnsi="宋体" w:cs="宋体"/>
          <w:b/>
          <w:sz w:val="28"/>
          <w:szCs w:val="28"/>
          <w:lang w:val="en-US" w:eastAsia="zh-CN"/>
        </w:rPr>
      </w:pPr>
      <w:r>
        <w:rPr>
          <w:rFonts w:hint="eastAsia" w:ascii="宋体" w:hAnsi="宋体" w:cs="宋体"/>
          <w:b/>
          <w:sz w:val="28"/>
          <w:szCs w:val="28"/>
          <w:lang w:val="en-US" w:eastAsia="zh-CN"/>
        </w:rPr>
        <w:t>验收标准</w:t>
      </w:r>
    </w:p>
    <w:p w14:paraId="7E0EC765">
      <w:pPr>
        <w:numPr>
          <w:ilvl w:val="0"/>
          <w:numId w:val="0"/>
        </w:numPr>
        <w:spacing w:line="360" w:lineRule="auto"/>
        <w:ind w:leftChars="-2"/>
        <w:rPr>
          <w:rFonts w:hint="eastAsia" w:ascii="宋体" w:hAnsi="宋体" w:cs="宋体"/>
          <w:b/>
          <w:sz w:val="28"/>
          <w:szCs w:val="28"/>
          <w:lang w:val="en-US" w:eastAsia="zh-CN"/>
        </w:rPr>
      </w:pPr>
      <w:r>
        <w:rPr>
          <w:rFonts w:ascii="宋体" w:hAnsi="宋体" w:eastAsia="宋体" w:cs="宋体"/>
          <w:sz w:val="24"/>
          <w:szCs w:val="24"/>
        </w:rPr>
        <w:t>仪器能够正常运行，通氮气零点合格，测量数据与我厂同条产线水分仪数据趋势一致，绝对误差≤</w:t>
      </w:r>
      <w:r>
        <w:rPr>
          <w:rFonts w:hint="eastAsia" w:ascii="宋体" w:hAnsi="宋体" w:eastAsia="宋体" w:cs="宋体"/>
          <w:sz w:val="24"/>
          <w:szCs w:val="24"/>
          <w:lang w:val="en-US" w:eastAsia="zh-CN"/>
        </w:rPr>
        <w:t>1</w:t>
      </w:r>
      <w:r>
        <w:rPr>
          <w:rFonts w:ascii="宋体" w:hAnsi="宋体" w:eastAsia="宋体" w:cs="宋体"/>
          <w:sz w:val="24"/>
          <w:szCs w:val="24"/>
        </w:rPr>
        <w:t>ppm 范围内，视为验收合格</w:t>
      </w:r>
      <w:r>
        <w:rPr>
          <w:rFonts w:hint="eastAsia" w:ascii="宋体" w:hAnsi="宋体" w:cs="Times New Roman"/>
          <w:sz w:val="24"/>
          <w:highlight w:val="none"/>
          <w:lang w:val="en-US" w:eastAsia="zh-CN"/>
        </w:rPr>
        <w:t>。</w:t>
      </w:r>
    </w:p>
    <w:p w14:paraId="3101A8B6"/>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837A4"/>
    <w:multiLevelType w:val="multilevel"/>
    <w:tmpl w:val="B3F837A4"/>
    <w:lvl w:ilvl="0" w:tentative="0">
      <w:start w:val="3"/>
      <w:numFmt w:val="decimal"/>
      <w:suff w:val="nothing"/>
      <w:lvlText w:val="%1、"/>
      <w:lvlJc w:val="left"/>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7F14B67"/>
    <w:multiLevelType w:val="singleLevel"/>
    <w:tmpl w:val="B7F14B67"/>
    <w:lvl w:ilvl="0" w:tentative="0">
      <w:start w:val="14"/>
      <w:numFmt w:val="decimal"/>
      <w:suff w:val="nothing"/>
      <w:lvlText w:val="%1、"/>
      <w:lvlJc w:val="left"/>
    </w:lvl>
  </w:abstractNum>
  <w:abstractNum w:abstractNumId="2">
    <w:nsid w:val="5302B1B7"/>
    <w:multiLevelType w:val="singleLevel"/>
    <w:tmpl w:val="5302B1B7"/>
    <w:lvl w:ilvl="0" w:tentative="0">
      <w:start w:val="1"/>
      <w:numFmt w:val="decimal"/>
      <w:lvlText w:val="%1)"/>
      <w:lvlJc w:val="left"/>
      <w:pPr>
        <w:ind w:left="425" w:hanging="425"/>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1767E"/>
    <w:rsid w:val="0030547F"/>
    <w:rsid w:val="009720EB"/>
    <w:rsid w:val="00A44E0A"/>
    <w:rsid w:val="00DB5D3A"/>
    <w:rsid w:val="091F391D"/>
    <w:rsid w:val="0CD7122A"/>
    <w:rsid w:val="10C95A18"/>
    <w:rsid w:val="239E13EF"/>
    <w:rsid w:val="287B609F"/>
    <w:rsid w:val="3C702E99"/>
    <w:rsid w:val="3FAE291D"/>
    <w:rsid w:val="46A576A8"/>
    <w:rsid w:val="46F1767E"/>
    <w:rsid w:val="4A5876FA"/>
    <w:rsid w:val="556E658C"/>
    <w:rsid w:val="74101F92"/>
    <w:rsid w:val="74AF32BE"/>
    <w:rsid w:val="79C30522"/>
    <w:rsid w:val="7C082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248</Words>
  <Characters>253</Characters>
  <Lines>31</Lines>
  <Paragraphs>8</Paragraphs>
  <TotalTime>1234</TotalTime>
  <ScaleCrop>false</ScaleCrop>
  <LinksUpToDate>false</LinksUpToDate>
  <CharactersWithSpaces>259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2025-04-09T06:38:00Z</dcterms:created>
  <dc:creator>鱼</dc:creator>
  <cp:lastModifiedBy>Brown</cp:lastModifiedBy>
  <dcterms:modified xsi:type="dcterms:W3CDTF">2026-09-22T02:08:52Z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2DFF5F5E0FB149D287871BAE6075FE43_13</vt:lpwstr>
  </property>
  <property fmtid="{D5CDD505-2E9C-101B-9397-08002B2CF9AE}" pid="4" name="KSOTemplateDocerSaveRecord">
    <vt:lpwstr>eyJoZGlkIjoiYzFhY2I4MWExYjVkOTdjZTQxZGNkMDc0NWIxOTI3MzkiLCJ1c2VySWQiOiIyMDU0Mjg2NDUifQ==</vt:lpwstr>
  </property>
</Properties>
</file>