
<file path=[Content_Types].xml><?xml version="1.0" encoding="utf-8"?>
<Types xmlns="http://schemas.openxmlformats.org/package/2006/content-types">
  <Default Extension="xml" ContentType="application/xml"/>
  <Default Extension="xlsx" ContentType="application/vnd.openxmlformats-officedocument.spreadsheetml.shee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337DE4">
      <w:pPr>
        <w:spacing w:line="360" w:lineRule="auto"/>
        <w:ind w:firstLine="964"/>
        <w:jc w:val="center"/>
        <w:rPr>
          <w:rFonts w:ascii="Times New Roman"/>
          <w:b/>
          <w:kern w:val="2"/>
          <w:sz w:val="48"/>
          <w:szCs w:val="48"/>
        </w:rPr>
      </w:pPr>
    </w:p>
    <w:p w14:paraId="017187D2">
      <w:pPr>
        <w:spacing w:line="360" w:lineRule="auto"/>
        <w:ind w:firstLine="964"/>
        <w:jc w:val="center"/>
        <w:rPr>
          <w:rFonts w:ascii="Times New Roman"/>
          <w:b/>
          <w:kern w:val="2"/>
          <w:sz w:val="48"/>
          <w:szCs w:val="48"/>
        </w:rPr>
      </w:pPr>
    </w:p>
    <w:p w14:paraId="7B743DA8">
      <w:pPr>
        <w:spacing w:line="360" w:lineRule="auto"/>
        <w:ind w:firstLine="0" w:firstLineChars="0"/>
        <w:jc w:val="center"/>
        <w:rPr>
          <w:rFonts w:ascii="Times New Roman"/>
          <w:b/>
          <w:kern w:val="2"/>
          <w:sz w:val="48"/>
          <w:szCs w:val="48"/>
        </w:rPr>
      </w:pPr>
      <w:r>
        <w:rPr>
          <w:rFonts w:hint="eastAsia" w:ascii="Times New Roman"/>
          <w:b/>
          <w:kern w:val="2"/>
          <w:sz w:val="48"/>
          <w:szCs w:val="48"/>
        </w:rPr>
        <w:t>福建省东南电化股份有限公司</w:t>
      </w:r>
    </w:p>
    <w:p w14:paraId="356E42FB">
      <w:pPr>
        <w:spacing w:line="360" w:lineRule="auto"/>
        <w:ind w:firstLine="0" w:firstLineChars="0"/>
        <w:jc w:val="center"/>
        <w:rPr>
          <w:rFonts w:cs="宋体"/>
          <w:b/>
          <w:kern w:val="2"/>
          <w:sz w:val="44"/>
          <w:szCs w:val="44"/>
        </w:rPr>
      </w:pPr>
      <w:r>
        <w:rPr>
          <w:rFonts w:hint="eastAsia" w:cs="宋体"/>
          <w:b/>
          <w:kern w:val="2"/>
          <w:sz w:val="44"/>
          <w:szCs w:val="44"/>
        </w:rPr>
        <w:t>设备管理系统建设项目</w:t>
      </w:r>
    </w:p>
    <w:p w14:paraId="620C5A3E">
      <w:pPr>
        <w:spacing w:line="360" w:lineRule="auto"/>
        <w:ind w:firstLine="0" w:firstLineChars="0"/>
        <w:jc w:val="center"/>
        <w:rPr>
          <w:rFonts w:cs="宋体"/>
          <w:b/>
          <w:kern w:val="2"/>
          <w:sz w:val="44"/>
          <w:szCs w:val="44"/>
        </w:rPr>
      </w:pPr>
      <w:r>
        <w:rPr>
          <w:rFonts w:hint="eastAsia" w:cs="宋体"/>
          <w:b/>
          <w:kern w:val="2"/>
          <w:sz w:val="44"/>
          <w:szCs w:val="44"/>
        </w:rPr>
        <w:t>技术规格书</w:t>
      </w:r>
    </w:p>
    <w:p w14:paraId="0EEEEC2B">
      <w:pPr>
        <w:tabs>
          <w:tab w:val="left" w:pos="2160"/>
          <w:tab w:val="left" w:pos="3960"/>
          <w:tab w:val="left" w:pos="5400"/>
          <w:tab w:val="left" w:pos="6840"/>
        </w:tabs>
        <w:ind w:right="252" w:firstLine="2891" w:firstLineChars="1200"/>
        <w:rPr>
          <w:rFonts w:ascii="Times New Roman"/>
          <w:b/>
          <w:kern w:val="2"/>
          <w:szCs w:val="24"/>
        </w:rPr>
      </w:pPr>
    </w:p>
    <w:p w14:paraId="7EE6F9D2">
      <w:pPr>
        <w:spacing w:line="360" w:lineRule="auto"/>
        <w:ind w:left="480" w:leftChars="200" w:right="33" w:firstLine="480"/>
        <w:rPr>
          <w:rFonts w:ascii="Arial" w:hAnsi="Arial"/>
          <w:iCs/>
          <w:kern w:val="2"/>
          <w:szCs w:val="24"/>
        </w:rPr>
      </w:pPr>
    </w:p>
    <w:p w14:paraId="7E0AE313">
      <w:pPr>
        <w:tabs>
          <w:tab w:val="left" w:pos="2160"/>
          <w:tab w:val="left" w:pos="3960"/>
          <w:tab w:val="left" w:pos="5400"/>
          <w:tab w:val="left" w:pos="6840"/>
        </w:tabs>
        <w:ind w:right="252" w:firstLine="3855" w:firstLineChars="1200"/>
        <w:rPr>
          <w:rFonts w:ascii="Times New Roman"/>
          <w:b/>
          <w:kern w:val="2"/>
          <w:sz w:val="32"/>
          <w:szCs w:val="32"/>
        </w:rPr>
      </w:pPr>
    </w:p>
    <w:p w14:paraId="02B63E6D">
      <w:pPr>
        <w:spacing w:line="360" w:lineRule="auto"/>
        <w:ind w:left="480" w:leftChars="200" w:right="33" w:firstLine="480"/>
        <w:rPr>
          <w:rFonts w:ascii="Arial" w:hAnsi="Arial"/>
          <w:iCs/>
          <w:kern w:val="2"/>
          <w:szCs w:val="24"/>
        </w:rPr>
      </w:pPr>
    </w:p>
    <w:p w14:paraId="24858C14">
      <w:pPr>
        <w:tabs>
          <w:tab w:val="left" w:pos="2160"/>
          <w:tab w:val="left" w:pos="3960"/>
          <w:tab w:val="left" w:pos="5400"/>
          <w:tab w:val="left" w:pos="6840"/>
        </w:tabs>
        <w:ind w:right="252" w:firstLine="643"/>
        <w:rPr>
          <w:rFonts w:ascii="Times New Roman"/>
          <w:b/>
          <w:kern w:val="2"/>
          <w:sz w:val="32"/>
          <w:szCs w:val="32"/>
        </w:rPr>
      </w:pPr>
    </w:p>
    <w:p w14:paraId="325BA2C0">
      <w:pPr>
        <w:tabs>
          <w:tab w:val="left" w:pos="2160"/>
          <w:tab w:val="left" w:pos="3960"/>
          <w:tab w:val="left" w:pos="5400"/>
          <w:tab w:val="left" w:pos="6840"/>
        </w:tabs>
        <w:ind w:right="252" w:firstLine="3855" w:firstLineChars="1200"/>
        <w:rPr>
          <w:rFonts w:ascii="Times New Roman"/>
          <w:b/>
          <w:kern w:val="2"/>
          <w:sz w:val="32"/>
          <w:szCs w:val="32"/>
        </w:rPr>
      </w:pPr>
    </w:p>
    <w:p w14:paraId="007F752C">
      <w:pPr>
        <w:tabs>
          <w:tab w:val="left" w:pos="2160"/>
          <w:tab w:val="left" w:pos="3960"/>
          <w:tab w:val="left" w:pos="5400"/>
          <w:tab w:val="left" w:pos="6840"/>
        </w:tabs>
        <w:ind w:right="252" w:firstLine="643"/>
        <w:rPr>
          <w:rFonts w:ascii="Times New Roman"/>
          <w:b/>
          <w:kern w:val="2"/>
          <w:sz w:val="32"/>
          <w:szCs w:val="32"/>
        </w:rPr>
      </w:pPr>
    </w:p>
    <w:p w14:paraId="34BECF29">
      <w:pPr>
        <w:tabs>
          <w:tab w:val="left" w:pos="2160"/>
          <w:tab w:val="left" w:pos="3960"/>
          <w:tab w:val="left" w:pos="5400"/>
          <w:tab w:val="left" w:pos="6840"/>
        </w:tabs>
        <w:ind w:right="252" w:firstLine="2530" w:firstLineChars="900"/>
        <w:jc w:val="left"/>
        <w:rPr>
          <w:rFonts w:ascii="黑体" w:hAnsi="黑体" w:eastAsia="黑体" w:cs="黑体"/>
          <w:b/>
          <w:kern w:val="2"/>
          <w:sz w:val="28"/>
          <w:szCs w:val="28"/>
        </w:rPr>
      </w:pPr>
      <w:r>
        <w:rPr>
          <w:rFonts w:hint="eastAsia" w:ascii="黑体" w:hAnsi="黑体" w:eastAsia="黑体" w:cs="黑体"/>
          <w:b/>
          <w:kern w:val="2"/>
          <w:sz w:val="28"/>
          <w:szCs w:val="28"/>
        </w:rPr>
        <w:t>福建省东南电化股份有限公司</w:t>
      </w:r>
    </w:p>
    <w:p w14:paraId="171E17E3">
      <w:pPr>
        <w:tabs>
          <w:tab w:val="left" w:pos="2160"/>
          <w:tab w:val="left" w:pos="3960"/>
          <w:tab w:val="left" w:pos="5400"/>
          <w:tab w:val="left" w:pos="6840"/>
        </w:tabs>
        <w:ind w:right="252" w:firstLine="3654" w:firstLineChars="1300"/>
        <w:rPr>
          <w:rFonts w:ascii="黑体" w:hAnsi="黑体" w:eastAsia="黑体" w:cs="黑体"/>
          <w:bCs/>
          <w:kern w:val="2"/>
          <w:szCs w:val="24"/>
        </w:rPr>
      </w:pPr>
      <w:r>
        <w:rPr>
          <w:rFonts w:hint="eastAsia" w:ascii="黑体" w:hAnsi="黑体" w:eastAsia="黑体" w:cs="黑体"/>
          <w:b/>
          <w:kern w:val="2"/>
          <w:sz w:val="28"/>
          <w:szCs w:val="28"/>
        </w:rPr>
        <w:t>2025年1月</w:t>
      </w:r>
    </w:p>
    <w:p w14:paraId="78872316">
      <w:pPr>
        <w:ind w:firstLine="880"/>
        <w:jc w:val="center"/>
      </w:pPr>
      <w:r>
        <w:rPr>
          <w:rFonts w:hint="eastAsia"/>
          <w:sz w:val="44"/>
          <w:szCs w:val="44"/>
        </w:rPr>
        <w:br w:type="page"/>
      </w:r>
      <w:r>
        <w:rPr>
          <w:rFonts w:hint="eastAsia"/>
          <w:b/>
          <w:bCs/>
          <w:sz w:val="52"/>
          <w:szCs w:val="52"/>
        </w:rPr>
        <w:t>目</w:t>
      </w:r>
      <w:r>
        <w:rPr>
          <w:rFonts w:hint="eastAsia"/>
          <w:b/>
          <w:bCs/>
          <w:sz w:val="52"/>
          <w:szCs w:val="52"/>
          <w:lang w:val="en-US" w:eastAsia="zh-CN"/>
        </w:rPr>
        <w:t xml:space="preserve">  </w:t>
      </w:r>
      <w:r>
        <w:rPr>
          <w:rFonts w:hint="eastAsia"/>
          <w:b/>
          <w:bCs/>
          <w:sz w:val="52"/>
          <w:szCs w:val="52"/>
        </w:rPr>
        <w:t>录</w:t>
      </w:r>
    </w:p>
    <w:p w14:paraId="2C2BFE55">
      <w:pPr>
        <w:pStyle w:val="17"/>
        <w:tabs>
          <w:tab w:val="right" w:leader="dot" w:pos="8975"/>
        </w:tabs>
      </w:pPr>
      <w:r>
        <w:rPr>
          <w:rFonts w:hint="eastAsia" w:cs="宋体"/>
        </w:rPr>
        <w:fldChar w:fldCharType="begin"/>
      </w:r>
      <w:r>
        <w:rPr>
          <w:rFonts w:hint="eastAsia" w:cs="宋体"/>
        </w:rPr>
        <w:instrText xml:space="preserve">TOC \o "1-4" \h \u </w:instrText>
      </w:r>
      <w:r>
        <w:rPr>
          <w:rFonts w:hint="eastAsia" w:cs="宋体"/>
        </w:rPr>
        <w:fldChar w:fldCharType="separate"/>
      </w:r>
      <w:r>
        <w:rPr>
          <w:rFonts w:hint="eastAsia" w:cs="宋体"/>
        </w:rPr>
        <w:fldChar w:fldCharType="begin"/>
      </w:r>
      <w:r>
        <w:rPr>
          <w:rFonts w:hint="eastAsia" w:cs="宋体"/>
        </w:rPr>
        <w:instrText xml:space="preserve"> HYPERLINK \l _Toc1593 </w:instrText>
      </w:r>
      <w:r>
        <w:rPr>
          <w:rFonts w:hint="eastAsia" w:cs="宋体"/>
        </w:rPr>
        <w:fldChar w:fldCharType="separate"/>
      </w:r>
      <w:r>
        <w:rPr>
          <w:rFonts w:hint="eastAsia" w:ascii="黑体" w:hAnsi="黑体" w:eastAsia="黑体" w:cs="黑体"/>
          <w:bCs/>
          <w:kern w:val="2"/>
          <w:szCs w:val="32"/>
        </w:rPr>
        <w:t>一、项目概况</w:t>
      </w:r>
      <w:r>
        <w:tab/>
      </w:r>
      <w:r>
        <w:fldChar w:fldCharType="begin"/>
      </w:r>
      <w:r>
        <w:instrText xml:space="preserve"> PAGEREF _Toc1593 \h </w:instrText>
      </w:r>
      <w:r>
        <w:fldChar w:fldCharType="separate"/>
      </w:r>
      <w:r>
        <w:t>1</w:t>
      </w:r>
      <w:r>
        <w:fldChar w:fldCharType="end"/>
      </w:r>
      <w:r>
        <w:rPr>
          <w:rFonts w:hint="eastAsia" w:cs="宋体"/>
        </w:rPr>
        <w:fldChar w:fldCharType="end"/>
      </w:r>
    </w:p>
    <w:p w14:paraId="77976909">
      <w:pPr>
        <w:pStyle w:val="20"/>
        <w:tabs>
          <w:tab w:val="right" w:leader="dot" w:pos="8975"/>
        </w:tabs>
      </w:pPr>
      <w:r>
        <w:rPr>
          <w:rFonts w:hint="eastAsia" w:cs="宋体"/>
        </w:rPr>
        <w:fldChar w:fldCharType="begin"/>
      </w:r>
      <w:r>
        <w:rPr>
          <w:rFonts w:hint="eastAsia" w:cs="宋体"/>
        </w:rPr>
        <w:instrText xml:space="preserve"> HYPERLINK \l _Toc5447 </w:instrText>
      </w:r>
      <w:r>
        <w:rPr>
          <w:rFonts w:hint="eastAsia" w:cs="宋体"/>
        </w:rPr>
        <w:fldChar w:fldCharType="separate"/>
      </w:r>
      <w:r>
        <w:rPr>
          <w:rFonts w:hint="eastAsia" w:ascii="楷体_GB2312" w:hAnsi="楷体_GB2312" w:eastAsia="楷体_GB2312" w:cs="楷体_GB2312"/>
          <w:kern w:val="2"/>
          <w:szCs w:val="32"/>
        </w:rPr>
        <w:t>（一） 项目背景</w:t>
      </w:r>
      <w:r>
        <w:tab/>
      </w:r>
      <w:r>
        <w:fldChar w:fldCharType="begin"/>
      </w:r>
      <w:r>
        <w:instrText xml:space="preserve"> PAGEREF _Toc5447 \h </w:instrText>
      </w:r>
      <w:r>
        <w:fldChar w:fldCharType="separate"/>
      </w:r>
      <w:r>
        <w:t>1</w:t>
      </w:r>
      <w:r>
        <w:fldChar w:fldCharType="end"/>
      </w:r>
      <w:r>
        <w:rPr>
          <w:rFonts w:hint="eastAsia" w:cs="宋体"/>
        </w:rPr>
        <w:fldChar w:fldCharType="end"/>
      </w:r>
    </w:p>
    <w:p w14:paraId="562692C6">
      <w:pPr>
        <w:pStyle w:val="20"/>
        <w:tabs>
          <w:tab w:val="right" w:leader="dot" w:pos="8975"/>
        </w:tabs>
      </w:pPr>
      <w:r>
        <w:rPr>
          <w:rFonts w:hint="eastAsia" w:cs="宋体"/>
        </w:rPr>
        <w:fldChar w:fldCharType="begin"/>
      </w:r>
      <w:r>
        <w:rPr>
          <w:rFonts w:hint="eastAsia" w:cs="宋体"/>
        </w:rPr>
        <w:instrText xml:space="preserve"> HYPERLINK \l _Toc1311 </w:instrText>
      </w:r>
      <w:r>
        <w:rPr>
          <w:rFonts w:hint="eastAsia" w:cs="宋体"/>
        </w:rPr>
        <w:fldChar w:fldCharType="separate"/>
      </w:r>
      <w:r>
        <w:rPr>
          <w:rFonts w:hint="eastAsia" w:ascii="楷体_GB2312" w:hAnsi="楷体_GB2312" w:eastAsia="楷体_GB2312" w:cs="楷体_GB2312"/>
          <w:kern w:val="2"/>
          <w:szCs w:val="32"/>
        </w:rPr>
        <w:t>（二） 建设目标及效果</w:t>
      </w:r>
      <w:r>
        <w:tab/>
      </w:r>
      <w:r>
        <w:fldChar w:fldCharType="begin"/>
      </w:r>
      <w:r>
        <w:instrText xml:space="preserve"> PAGEREF _Toc1311 \h </w:instrText>
      </w:r>
      <w:r>
        <w:fldChar w:fldCharType="separate"/>
      </w:r>
      <w:r>
        <w:t>1</w:t>
      </w:r>
      <w:r>
        <w:fldChar w:fldCharType="end"/>
      </w:r>
      <w:r>
        <w:rPr>
          <w:rFonts w:hint="eastAsia" w:cs="宋体"/>
        </w:rPr>
        <w:fldChar w:fldCharType="end"/>
      </w:r>
    </w:p>
    <w:p w14:paraId="45410077">
      <w:pPr>
        <w:pStyle w:val="17"/>
        <w:tabs>
          <w:tab w:val="right" w:leader="dot" w:pos="8975"/>
        </w:tabs>
      </w:pPr>
      <w:r>
        <w:rPr>
          <w:rFonts w:hint="eastAsia" w:cs="宋体"/>
        </w:rPr>
        <w:fldChar w:fldCharType="begin"/>
      </w:r>
      <w:r>
        <w:rPr>
          <w:rFonts w:hint="eastAsia" w:cs="宋体"/>
        </w:rPr>
        <w:instrText xml:space="preserve"> HYPERLINK \l _Toc20926 </w:instrText>
      </w:r>
      <w:r>
        <w:rPr>
          <w:rFonts w:hint="eastAsia" w:cs="宋体"/>
        </w:rPr>
        <w:fldChar w:fldCharType="separate"/>
      </w:r>
      <w:r>
        <w:rPr>
          <w:rFonts w:hint="eastAsia" w:ascii="黑体" w:hAnsi="黑体" w:eastAsia="黑体" w:cs="黑体"/>
          <w:bCs/>
          <w:kern w:val="2"/>
          <w:szCs w:val="32"/>
        </w:rPr>
        <w:t>二、设备管理系统功能范围</w:t>
      </w:r>
      <w:r>
        <w:tab/>
      </w:r>
      <w:r>
        <w:fldChar w:fldCharType="begin"/>
      </w:r>
      <w:r>
        <w:instrText xml:space="preserve"> PAGEREF _Toc20926 \h </w:instrText>
      </w:r>
      <w:r>
        <w:fldChar w:fldCharType="separate"/>
      </w:r>
      <w:r>
        <w:t>2</w:t>
      </w:r>
      <w:r>
        <w:fldChar w:fldCharType="end"/>
      </w:r>
      <w:r>
        <w:rPr>
          <w:rFonts w:hint="eastAsia" w:cs="宋体"/>
        </w:rPr>
        <w:fldChar w:fldCharType="end"/>
      </w:r>
    </w:p>
    <w:p w14:paraId="3F28E096">
      <w:pPr>
        <w:pStyle w:val="17"/>
        <w:tabs>
          <w:tab w:val="right" w:leader="dot" w:pos="8975"/>
        </w:tabs>
      </w:pPr>
      <w:r>
        <w:rPr>
          <w:rFonts w:hint="eastAsia" w:cs="宋体"/>
        </w:rPr>
        <w:fldChar w:fldCharType="begin"/>
      </w:r>
      <w:r>
        <w:rPr>
          <w:rFonts w:hint="eastAsia" w:cs="宋体"/>
        </w:rPr>
        <w:instrText xml:space="preserve"> HYPERLINK \l _Toc32219 </w:instrText>
      </w:r>
      <w:r>
        <w:rPr>
          <w:rFonts w:hint="eastAsia" w:cs="宋体"/>
        </w:rPr>
        <w:fldChar w:fldCharType="separate"/>
      </w:r>
      <w:r>
        <w:rPr>
          <w:rFonts w:hint="eastAsia" w:ascii="黑体" w:hAnsi="黑体" w:eastAsia="黑体" w:cs="黑体"/>
          <w:bCs/>
          <w:kern w:val="2"/>
          <w:szCs w:val="32"/>
        </w:rPr>
        <w:t>三、遵循规范及标准</w:t>
      </w:r>
      <w:r>
        <w:tab/>
      </w:r>
      <w:r>
        <w:fldChar w:fldCharType="begin"/>
      </w:r>
      <w:r>
        <w:instrText xml:space="preserve"> PAGEREF _Toc32219 \h </w:instrText>
      </w:r>
      <w:r>
        <w:fldChar w:fldCharType="separate"/>
      </w:r>
      <w:r>
        <w:t>2</w:t>
      </w:r>
      <w:r>
        <w:fldChar w:fldCharType="end"/>
      </w:r>
      <w:r>
        <w:rPr>
          <w:rFonts w:hint="eastAsia" w:cs="宋体"/>
        </w:rPr>
        <w:fldChar w:fldCharType="end"/>
      </w:r>
    </w:p>
    <w:p w14:paraId="4DE2FF43">
      <w:pPr>
        <w:pStyle w:val="20"/>
        <w:tabs>
          <w:tab w:val="right" w:leader="dot" w:pos="8975"/>
        </w:tabs>
      </w:pPr>
      <w:r>
        <w:rPr>
          <w:rFonts w:hint="eastAsia" w:cs="宋体"/>
        </w:rPr>
        <w:fldChar w:fldCharType="begin"/>
      </w:r>
      <w:r>
        <w:rPr>
          <w:rFonts w:hint="eastAsia" w:cs="宋体"/>
        </w:rPr>
        <w:instrText xml:space="preserve"> HYPERLINK \l _Toc20547 </w:instrText>
      </w:r>
      <w:r>
        <w:rPr>
          <w:rFonts w:hint="eastAsia" w:cs="宋体"/>
        </w:rPr>
        <w:fldChar w:fldCharType="separate"/>
      </w:r>
      <w:r>
        <w:rPr>
          <w:rFonts w:hint="eastAsia" w:ascii="楷体_GB2312" w:hAnsi="楷体_GB2312" w:eastAsia="楷体_GB2312" w:cs="楷体_GB2312"/>
          <w:kern w:val="2"/>
          <w:szCs w:val="32"/>
        </w:rPr>
        <w:t xml:space="preserve">（一） </w:t>
      </w:r>
      <w:r>
        <w:rPr>
          <w:rFonts w:hint="eastAsia" w:ascii="楷体_GB2312" w:hAnsi="楷体_GB2312" w:eastAsia="楷体_GB2312" w:cs="楷体_GB2312"/>
          <w:kern w:val="2"/>
          <w:szCs w:val="32"/>
          <w:highlight w:val="none"/>
        </w:rPr>
        <w:t>设备管理国家规范与标准</w:t>
      </w:r>
      <w:r>
        <w:tab/>
      </w:r>
      <w:r>
        <w:fldChar w:fldCharType="begin"/>
      </w:r>
      <w:r>
        <w:instrText xml:space="preserve"> PAGEREF _Toc20547 \h </w:instrText>
      </w:r>
      <w:r>
        <w:fldChar w:fldCharType="separate"/>
      </w:r>
      <w:r>
        <w:t>3</w:t>
      </w:r>
      <w:r>
        <w:fldChar w:fldCharType="end"/>
      </w:r>
      <w:r>
        <w:rPr>
          <w:rFonts w:hint="eastAsia" w:cs="宋体"/>
        </w:rPr>
        <w:fldChar w:fldCharType="end"/>
      </w:r>
    </w:p>
    <w:p w14:paraId="5EB1C1E4">
      <w:pPr>
        <w:pStyle w:val="20"/>
        <w:tabs>
          <w:tab w:val="right" w:leader="dot" w:pos="8975"/>
        </w:tabs>
      </w:pPr>
      <w:r>
        <w:rPr>
          <w:rFonts w:hint="eastAsia" w:cs="宋体"/>
        </w:rPr>
        <w:fldChar w:fldCharType="begin"/>
      </w:r>
      <w:r>
        <w:rPr>
          <w:rFonts w:hint="eastAsia" w:cs="宋体"/>
        </w:rPr>
        <w:instrText xml:space="preserve"> HYPERLINK \l _Toc28355 </w:instrText>
      </w:r>
      <w:r>
        <w:rPr>
          <w:rFonts w:hint="eastAsia" w:cs="宋体"/>
        </w:rPr>
        <w:fldChar w:fldCharType="separate"/>
      </w:r>
      <w:r>
        <w:rPr>
          <w:rFonts w:hint="eastAsia" w:ascii="楷体_GB2312" w:hAnsi="楷体_GB2312" w:eastAsia="楷体_GB2312" w:cs="楷体_GB2312"/>
          <w:kern w:val="2"/>
          <w:szCs w:val="32"/>
        </w:rPr>
        <w:t xml:space="preserve">（二） </w:t>
      </w:r>
      <w:r>
        <w:rPr>
          <w:rFonts w:hint="eastAsia" w:ascii="楷体_GB2312" w:hAnsi="楷体_GB2312" w:eastAsia="楷体_GB2312" w:cs="楷体_GB2312"/>
          <w:kern w:val="2"/>
          <w:szCs w:val="32"/>
          <w:highlight w:val="none"/>
        </w:rPr>
        <w:t>信息系统软件设计制造标准</w:t>
      </w:r>
      <w:r>
        <w:tab/>
      </w:r>
      <w:r>
        <w:fldChar w:fldCharType="begin"/>
      </w:r>
      <w:r>
        <w:instrText xml:space="preserve"> PAGEREF _Toc28355 \h </w:instrText>
      </w:r>
      <w:r>
        <w:fldChar w:fldCharType="separate"/>
      </w:r>
      <w:r>
        <w:t>3</w:t>
      </w:r>
      <w:r>
        <w:fldChar w:fldCharType="end"/>
      </w:r>
      <w:r>
        <w:rPr>
          <w:rFonts w:hint="eastAsia" w:cs="宋体"/>
        </w:rPr>
        <w:fldChar w:fldCharType="end"/>
      </w:r>
    </w:p>
    <w:p w14:paraId="4CD3797A">
      <w:pPr>
        <w:pStyle w:val="20"/>
        <w:tabs>
          <w:tab w:val="right" w:leader="dot" w:pos="8975"/>
        </w:tabs>
      </w:pPr>
      <w:r>
        <w:rPr>
          <w:rFonts w:hint="eastAsia" w:cs="宋体"/>
        </w:rPr>
        <w:fldChar w:fldCharType="begin"/>
      </w:r>
      <w:r>
        <w:rPr>
          <w:rFonts w:hint="eastAsia" w:cs="宋体"/>
        </w:rPr>
        <w:instrText xml:space="preserve"> HYPERLINK \l _Toc17486 </w:instrText>
      </w:r>
      <w:r>
        <w:rPr>
          <w:rFonts w:hint="eastAsia" w:cs="宋体"/>
        </w:rPr>
        <w:fldChar w:fldCharType="separate"/>
      </w:r>
      <w:r>
        <w:rPr>
          <w:rFonts w:hint="eastAsia" w:ascii="楷体_GB2312" w:hAnsi="楷体_GB2312" w:eastAsia="楷体_GB2312" w:cs="楷体_GB2312"/>
          <w:kern w:val="2"/>
          <w:szCs w:val="32"/>
        </w:rPr>
        <w:t xml:space="preserve">（三） </w:t>
      </w:r>
      <w:r>
        <w:rPr>
          <w:rFonts w:hint="eastAsia" w:ascii="楷体_GB2312" w:hAnsi="楷体_GB2312" w:eastAsia="楷体_GB2312" w:cs="楷体_GB2312"/>
          <w:kern w:val="2"/>
          <w:szCs w:val="32"/>
          <w:highlight w:val="none"/>
        </w:rPr>
        <w:t>安全标准规范</w:t>
      </w:r>
      <w:r>
        <w:tab/>
      </w:r>
      <w:r>
        <w:fldChar w:fldCharType="begin"/>
      </w:r>
      <w:r>
        <w:instrText xml:space="preserve"> PAGEREF _Toc17486 \h </w:instrText>
      </w:r>
      <w:r>
        <w:fldChar w:fldCharType="separate"/>
      </w:r>
      <w:r>
        <w:t>3</w:t>
      </w:r>
      <w:r>
        <w:fldChar w:fldCharType="end"/>
      </w:r>
      <w:r>
        <w:rPr>
          <w:rFonts w:hint="eastAsia" w:cs="宋体"/>
        </w:rPr>
        <w:fldChar w:fldCharType="end"/>
      </w:r>
    </w:p>
    <w:p w14:paraId="77F064BB">
      <w:pPr>
        <w:pStyle w:val="17"/>
        <w:tabs>
          <w:tab w:val="right" w:leader="dot" w:pos="8975"/>
        </w:tabs>
      </w:pPr>
      <w:r>
        <w:rPr>
          <w:rFonts w:hint="eastAsia" w:cs="宋体"/>
        </w:rPr>
        <w:fldChar w:fldCharType="begin"/>
      </w:r>
      <w:r>
        <w:rPr>
          <w:rFonts w:hint="eastAsia" w:cs="宋体"/>
        </w:rPr>
        <w:instrText xml:space="preserve"> HYPERLINK \l _Toc6650 </w:instrText>
      </w:r>
      <w:r>
        <w:rPr>
          <w:rFonts w:hint="eastAsia" w:cs="宋体"/>
        </w:rPr>
        <w:fldChar w:fldCharType="separate"/>
      </w:r>
      <w:r>
        <w:rPr>
          <w:rFonts w:hint="eastAsia" w:ascii="黑体" w:hAnsi="黑体" w:eastAsia="黑体" w:cs="黑体"/>
          <w:bCs/>
          <w:kern w:val="2"/>
          <w:szCs w:val="32"/>
          <w:lang w:val="en-US" w:eastAsia="zh-CN"/>
        </w:rPr>
        <w:t>四</w:t>
      </w:r>
      <w:r>
        <w:rPr>
          <w:rFonts w:hint="eastAsia" w:ascii="黑体" w:hAnsi="黑体" w:eastAsia="黑体" w:cs="黑体"/>
          <w:bCs/>
          <w:kern w:val="2"/>
          <w:szCs w:val="32"/>
        </w:rPr>
        <w:t>、项目建设原则</w:t>
      </w:r>
      <w:r>
        <w:tab/>
      </w:r>
      <w:r>
        <w:fldChar w:fldCharType="begin"/>
      </w:r>
      <w:r>
        <w:instrText xml:space="preserve"> PAGEREF _Toc6650 \h </w:instrText>
      </w:r>
      <w:r>
        <w:fldChar w:fldCharType="separate"/>
      </w:r>
      <w:r>
        <w:t>4</w:t>
      </w:r>
      <w:r>
        <w:fldChar w:fldCharType="end"/>
      </w:r>
      <w:r>
        <w:rPr>
          <w:rFonts w:hint="eastAsia" w:cs="宋体"/>
        </w:rPr>
        <w:fldChar w:fldCharType="end"/>
      </w:r>
    </w:p>
    <w:p w14:paraId="396A84C4">
      <w:pPr>
        <w:pStyle w:val="20"/>
        <w:tabs>
          <w:tab w:val="right" w:leader="dot" w:pos="8975"/>
        </w:tabs>
      </w:pPr>
      <w:r>
        <w:rPr>
          <w:rFonts w:hint="eastAsia" w:cs="宋体"/>
        </w:rPr>
        <w:fldChar w:fldCharType="begin"/>
      </w:r>
      <w:r>
        <w:rPr>
          <w:rFonts w:hint="eastAsia" w:cs="宋体"/>
        </w:rPr>
        <w:instrText xml:space="preserve"> HYPERLINK \l _Toc6590 </w:instrText>
      </w:r>
      <w:r>
        <w:rPr>
          <w:rFonts w:hint="eastAsia" w:cs="宋体"/>
        </w:rPr>
        <w:fldChar w:fldCharType="separate"/>
      </w:r>
      <w:r>
        <w:rPr>
          <w:rFonts w:hint="eastAsia" w:ascii="楷体_GB2312" w:hAnsi="楷体_GB2312" w:eastAsia="楷体_GB2312" w:cs="楷体_GB2312"/>
          <w:kern w:val="2"/>
          <w:szCs w:val="32"/>
        </w:rPr>
        <w:t>（一） 统一设计原则</w:t>
      </w:r>
      <w:r>
        <w:tab/>
      </w:r>
      <w:r>
        <w:fldChar w:fldCharType="begin"/>
      </w:r>
      <w:r>
        <w:instrText xml:space="preserve"> PAGEREF _Toc6590 \h </w:instrText>
      </w:r>
      <w:r>
        <w:fldChar w:fldCharType="separate"/>
      </w:r>
      <w:r>
        <w:t>4</w:t>
      </w:r>
      <w:r>
        <w:fldChar w:fldCharType="end"/>
      </w:r>
      <w:r>
        <w:rPr>
          <w:rFonts w:hint="eastAsia" w:cs="宋体"/>
        </w:rPr>
        <w:fldChar w:fldCharType="end"/>
      </w:r>
    </w:p>
    <w:p w14:paraId="6DDE0A5E">
      <w:pPr>
        <w:pStyle w:val="20"/>
        <w:tabs>
          <w:tab w:val="right" w:leader="dot" w:pos="8975"/>
        </w:tabs>
      </w:pPr>
      <w:r>
        <w:rPr>
          <w:rFonts w:hint="eastAsia" w:cs="宋体"/>
        </w:rPr>
        <w:fldChar w:fldCharType="begin"/>
      </w:r>
      <w:r>
        <w:rPr>
          <w:rFonts w:hint="eastAsia" w:cs="宋体"/>
        </w:rPr>
        <w:instrText xml:space="preserve"> HYPERLINK \l _Toc19721 </w:instrText>
      </w:r>
      <w:r>
        <w:rPr>
          <w:rFonts w:hint="eastAsia" w:cs="宋体"/>
        </w:rPr>
        <w:fldChar w:fldCharType="separate"/>
      </w:r>
      <w:r>
        <w:rPr>
          <w:rFonts w:hint="eastAsia" w:ascii="楷体_GB2312" w:hAnsi="楷体_GB2312" w:eastAsia="楷体_GB2312" w:cs="楷体_GB2312"/>
          <w:kern w:val="2"/>
          <w:szCs w:val="32"/>
        </w:rPr>
        <w:t>（二） 实用性和经济性</w:t>
      </w:r>
      <w:r>
        <w:tab/>
      </w:r>
      <w:r>
        <w:fldChar w:fldCharType="begin"/>
      </w:r>
      <w:r>
        <w:instrText xml:space="preserve"> PAGEREF _Toc19721 \h </w:instrText>
      </w:r>
      <w:r>
        <w:fldChar w:fldCharType="separate"/>
      </w:r>
      <w:r>
        <w:t>4</w:t>
      </w:r>
      <w:r>
        <w:fldChar w:fldCharType="end"/>
      </w:r>
      <w:r>
        <w:rPr>
          <w:rFonts w:hint="eastAsia" w:cs="宋体"/>
        </w:rPr>
        <w:fldChar w:fldCharType="end"/>
      </w:r>
    </w:p>
    <w:p w14:paraId="06FB5302">
      <w:pPr>
        <w:pStyle w:val="20"/>
        <w:tabs>
          <w:tab w:val="right" w:leader="dot" w:pos="8975"/>
        </w:tabs>
      </w:pPr>
      <w:r>
        <w:rPr>
          <w:rFonts w:hint="eastAsia" w:cs="宋体"/>
        </w:rPr>
        <w:fldChar w:fldCharType="begin"/>
      </w:r>
      <w:r>
        <w:rPr>
          <w:rFonts w:hint="eastAsia" w:cs="宋体"/>
        </w:rPr>
        <w:instrText xml:space="preserve"> HYPERLINK \l _Toc15508 </w:instrText>
      </w:r>
      <w:r>
        <w:rPr>
          <w:rFonts w:hint="eastAsia" w:cs="宋体"/>
        </w:rPr>
        <w:fldChar w:fldCharType="separate"/>
      </w:r>
      <w:r>
        <w:rPr>
          <w:rFonts w:hint="eastAsia" w:ascii="楷体_GB2312" w:hAnsi="楷体_GB2312" w:eastAsia="楷体_GB2312" w:cs="楷体_GB2312"/>
          <w:kern w:val="2"/>
          <w:szCs w:val="32"/>
        </w:rPr>
        <w:t>（三） 先进性和成熟性</w:t>
      </w:r>
      <w:r>
        <w:tab/>
      </w:r>
      <w:r>
        <w:fldChar w:fldCharType="begin"/>
      </w:r>
      <w:r>
        <w:instrText xml:space="preserve"> PAGEREF _Toc15508 \h </w:instrText>
      </w:r>
      <w:r>
        <w:fldChar w:fldCharType="separate"/>
      </w:r>
      <w:r>
        <w:t>4</w:t>
      </w:r>
      <w:r>
        <w:fldChar w:fldCharType="end"/>
      </w:r>
      <w:r>
        <w:rPr>
          <w:rFonts w:hint="eastAsia" w:cs="宋体"/>
        </w:rPr>
        <w:fldChar w:fldCharType="end"/>
      </w:r>
    </w:p>
    <w:p w14:paraId="4A2507CC">
      <w:pPr>
        <w:pStyle w:val="20"/>
        <w:tabs>
          <w:tab w:val="right" w:leader="dot" w:pos="8975"/>
        </w:tabs>
      </w:pPr>
      <w:r>
        <w:rPr>
          <w:rFonts w:hint="eastAsia" w:cs="宋体"/>
        </w:rPr>
        <w:fldChar w:fldCharType="begin"/>
      </w:r>
      <w:r>
        <w:rPr>
          <w:rFonts w:hint="eastAsia" w:cs="宋体"/>
        </w:rPr>
        <w:instrText xml:space="preserve"> HYPERLINK \l _Toc11807 </w:instrText>
      </w:r>
      <w:r>
        <w:rPr>
          <w:rFonts w:hint="eastAsia" w:cs="宋体"/>
        </w:rPr>
        <w:fldChar w:fldCharType="separate"/>
      </w:r>
      <w:r>
        <w:rPr>
          <w:rFonts w:hint="eastAsia" w:ascii="楷体_GB2312" w:hAnsi="楷体_GB2312" w:eastAsia="楷体_GB2312" w:cs="楷体_GB2312"/>
          <w:kern w:val="2"/>
          <w:szCs w:val="32"/>
        </w:rPr>
        <w:t>（四） 可靠性和稳定性</w:t>
      </w:r>
      <w:r>
        <w:tab/>
      </w:r>
      <w:r>
        <w:fldChar w:fldCharType="begin"/>
      </w:r>
      <w:r>
        <w:instrText xml:space="preserve"> PAGEREF _Toc11807 \h </w:instrText>
      </w:r>
      <w:r>
        <w:fldChar w:fldCharType="separate"/>
      </w:r>
      <w:r>
        <w:t>5</w:t>
      </w:r>
      <w:r>
        <w:fldChar w:fldCharType="end"/>
      </w:r>
      <w:r>
        <w:rPr>
          <w:rFonts w:hint="eastAsia" w:cs="宋体"/>
        </w:rPr>
        <w:fldChar w:fldCharType="end"/>
      </w:r>
    </w:p>
    <w:p w14:paraId="53F793C7">
      <w:pPr>
        <w:pStyle w:val="20"/>
        <w:tabs>
          <w:tab w:val="right" w:leader="dot" w:pos="8975"/>
        </w:tabs>
      </w:pPr>
      <w:r>
        <w:rPr>
          <w:rFonts w:hint="eastAsia" w:cs="宋体"/>
        </w:rPr>
        <w:fldChar w:fldCharType="begin"/>
      </w:r>
      <w:r>
        <w:rPr>
          <w:rFonts w:hint="eastAsia" w:cs="宋体"/>
        </w:rPr>
        <w:instrText xml:space="preserve"> HYPERLINK \l _Toc17323 </w:instrText>
      </w:r>
      <w:r>
        <w:rPr>
          <w:rFonts w:hint="eastAsia" w:cs="宋体"/>
        </w:rPr>
        <w:fldChar w:fldCharType="separate"/>
      </w:r>
      <w:r>
        <w:rPr>
          <w:rFonts w:hint="eastAsia" w:ascii="楷体_GB2312" w:hAnsi="楷体_GB2312" w:eastAsia="楷体_GB2312" w:cs="楷体_GB2312"/>
          <w:kern w:val="2"/>
          <w:szCs w:val="32"/>
        </w:rPr>
        <w:t>（五） 安全性和保密性</w:t>
      </w:r>
      <w:r>
        <w:tab/>
      </w:r>
      <w:r>
        <w:fldChar w:fldCharType="begin"/>
      </w:r>
      <w:r>
        <w:instrText xml:space="preserve"> PAGEREF _Toc17323 \h </w:instrText>
      </w:r>
      <w:r>
        <w:fldChar w:fldCharType="separate"/>
      </w:r>
      <w:r>
        <w:t>5</w:t>
      </w:r>
      <w:r>
        <w:fldChar w:fldCharType="end"/>
      </w:r>
      <w:r>
        <w:rPr>
          <w:rFonts w:hint="eastAsia" w:cs="宋体"/>
        </w:rPr>
        <w:fldChar w:fldCharType="end"/>
      </w:r>
    </w:p>
    <w:p w14:paraId="7E52A964">
      <w:pPr>
        <w:pStyle w:val="20"/>
        <w:tabs>
          <w:tab w:val="right" w:leader="dot" w:pos="8975"/>
        </w:tabs>
      </w:pPr>
      <w:r>
        <w:rPr>
          <w:rFonts w:hint="eastAsia" w:cs="宋体"/>
        </w:rPr>
        <w:fldChar w:fldCharType="begin"/>
      </w:r>
      <w:r>
        <w:rPr>
          <w:rFonts w:hint="eastAsia" w:cs="宋体"/>
        </w:rPr>
        <w:instrText xml:space="preserve"> HYPERLINK \l _Toc1131 </w:instrText>
      </w:r>
      <w:r>
        <w:rPr>
          <w:rFonts w:hint="eastAsia" w:cs="宋体"/>
        </w:rPr>
        <w:fldChar w:fldCharType="separate"/>
      </w:r>
      <w:r>
        <w:rPr>
          <w:rFonts w:hint="eastAsia" w:ascii="楷体_GB2312" w:hAnsi="楷体_GB2312" w:eastAsia="楷体_GB2312" w:cs="楷体_GB2312"/>
          <w:kern w:val="2"/>
          <w:szCs w:val="32"/>
        </w:rPr>
        <w:t>（六） 扩展性和开放性</w:t>
      </w:r>
      <w:r>
        <w:tab/>
      </w:r>
      <w:r>
        <w:fldChar w:fldCharType="begin"/>
      </w:r>
      <w:r>
        <w:instrText xml:space="preserve"> PAGEREF _Toc1131 \h </w:instrText>
      </w:r>
      <w:r>
        <w:fldChar w:fldCharType="separate"/>
      </w:r>
      <w:r>
        <w:t>5</w:t>
      </w:r>
      <w:r>
        <w:fldChar w:fldCharType="end"/>
      </w:r>
      <w:r>
        <w:rPr>
          <w:rFonts w:hint="eastAsia" w:cs="宋体"/>
        </w:rPr>
        <w:fldChar w:fldCharType="end"/>
      </w:r>
    </w:p>
    <w:p w14:paraId="493CD860">
      <w:pPr>
        <w:pStyle w:val="17"/>
        <w:tabs>
          <w:tab w:val="right" w:leader="dot" w:pos="8975"/>
        </w:tabs>
      </w:pPr>
      <w:r>
        <w:rPr>
          <w:rFonts w:hint="eastAsia" w:cs="宋体"/>
        </w:rPr>
        <w:fldChar w:fldCharType="begin"/>
      </w:r>
      <w:r>
        <w:rPr>
          <w:rFonts w:hint="eastAsia" w:cs="宋体"/>
        </w:rPr>
        <w:instrText xml:space="preserve"> HYPERLINK \l _Toc15924 </w:instrText>
      </w:r>
      <w:r>
        <w:rPr>
          <w:rFonts w:hint="eastAsia" w:cs="宋体"/>
        </w:rPr>
        <w:fldChar w:fldCharType="separate"/>
      </w:r>
      <w:r>
        <w:rPr>
          <w:rFonts w:hint="eastAsia" w:ascii="黑体" w:hAnsi="黑体" w:eastAsia="黑体" w:cs="黑体"/>
          <w:bCs/>
          <w:kern w:val="2"/>
          <w:szCs w:val="32"/>
          <w:lang w:val="en-US" w:eastAsia="zh-CN"/>
        </w:rPr>
        <w:t>五</w:t>
      </w:r>
      <w:r>
        <w:rPr>
          <w:rFonts w:hint="eastAsia" w:ascii="黑体" w:hAnsi="黑体" w:eastAsia="黑体" w:cs="黑体"/>
          <w:bCs/>
          <w:kern w:val="2"/>
          <w:szCs w:val="32"/>
        </w:rPr>
        <w:t>、技术规范要求</w:t>
      </w:r>
      <w:r>
        <w:tab/>
      </w:r>
      <w:r>
        <w:fldChar w:fldCharType="begin"/>
      </w:r>
      <w:r>
        <w:instrText xml:space="preserve"> PAGEREF _Toc15924 \h </w:instrText>
      </w:r>
      <w:r>
        <w:fldChar w:fldCharType="separate"/>
      </w:r>
      <w:r>
        <w:t>6</w:t>
      </w:r>
      <w:r>
        <w:fldChar w:fldCharType="end"/>
      </w:r>
      <w:r>
        <w:rPr>
          <w:rFonts w:hint="eastAsia" w:cs="宋体"/>
        </w:rPr>
        <w:fldChar w:fldCharType="end"/>
      </w:r>
    </w:p>
    <w:p w14:paraId="12CBC612">
      <w:pPr>
        <w:pStyle w:val="20"/>
        <w:tabs>
          <w:tab w:val="right" w:leader="dot" w:pos="8975"/>
        </w:tabs>
      </w:pPr>
      <w:r>
        <w:rPr>
          <w:rFonts w:hint="eastAsia" w:cs="宋体"/>
        </w:rPr>
        <w:fldChar w:fldCharType="begin"/>
      </w:r>
      <w:r>
        <w:rPr>
          <w:rFonts w:hint="eastAsia" w:cs="宋体"/>
        </w:rPr>
        <w:instrText xml:space="preserve"> HYPERLINK \l _Toc23596 </w:instrText>
      </w:r>
      <w:r>
        <w:rPr>
          <w:rFonts w:hint="eastAsia" w:cs="宋体"/>
        </w:rPr>
        <w:fldChar w:fldCharType="separate"/>
      </w:r>
      <w:r>
        <w:rPr>
          <w:rFonts w:hint="eastAsia" w:ascii="楷体_GB2312" w:hAnsi="楷体_GB2312" w:eastAsia="楷体_GB2312" w:cs="楷体_GB2312"/>
          <w:kern w:val="2"/>
          <w:szCs w:val="32"/>
        </w:rPr>
        <w:t>（一）系统功能</w:t>
      </w:r>
      <w:r>
        <w:tab/>
      </w:r>
      <w:r>
        <w:fldChar w:fldCharType="begin"/>
      </w:r>
      <w:r>
        <w:instrText xml:space="preserve"> PAGEREF _Toc23596 \h </w:instrText>
      </w:r>
      <w:r>
        <w:fldChar w:fldCharType="separate"/>
      </w:r>
      <w:r>
        <w:t>6</w:t>
      </w:r>
      <w:r>
        <w:fldChar w:fldCharType="end"/>
      </w:r>
      <w:r>
        <w:rPr>
          <w:rFonts w:hint="eastAsia" w:cs="宋体"/>
        </w:rPr>
        <w:fldChar w:fldCharType="end"/>
      </w:r>
    </w:p>
    <w:p w14:paraId="0E8ACA40">
      <w:pPr>
        <w:pStyle w:val="13"/>
        <w:tabs>
          <w:tab w:val="right" w:leader="dot" w:pos="8975"/>
        </w:tabs>
      </w:pPr>
      <w:r>
        <w:rPr>
          <w:rFonts w:hint="eastAsia" w:cs="宋体"/>
        </w:rPr>
        <w:fldChar w:fldCharType="begin"/>
      </w:r>
      <w:r>
        <w:rPr>
          <w:rFonts w:hint="eastAsia" w:cs="宋体"/>
        </w:rPr>
        <w:instrText xml:space="preserve"> HYPERLINK \l _Toc8694 </w:instrText>
      </w:r>
      <w:r>
        <w:rPr>
          <w:rFonts w:hint="eastAsia" w:cs="宋体"/>
        </w:rPr>
        <w:fldChar w:fldCharType="separate"/>
      </w:r>
      <w:r>
        <w:rPr>
          <w:rFonts w:hint="eastAsia" w:cs="宋体"/>
          <w:kern w:val="2"/>
          <w:szCs w:val="24"/>
        </w:rPr>
        <w:t>1.设备体系</w:t>
      </w:r>
      <w:r>
        <w:tab/>
      </w:r>
      <w:r>
        <w:fldChar w:fldCharType="begin"/>
      </w:r>
      <w:r>
        <w:instrText xml:space="preserve"> PAGEREF _Toc8694 \h </w:instrText>
      </w:r>
      <w:r>
        <w:fldChar w:fldCharType="separate"/>
      </w:r>
      <w:r>
        <w:t>6</w:t>
      </w:r>
      <w:r>
        <w:fldChar w:fldCharType="end"/>
      </w:r>
      <w:r>
        <w:rPr>
          <w:rFonts w:hint="eastAsia" w:cs="宋体"/>
        </w:rPr>
        <w:fldChar w:fldCharType="end"/>
      </w:r>
    </w:p>
    <w:p w14:paraId="041C8374">
      <w:pPr>
        <w:pStyle w:val="18"/>
        <w:tabs>
          <w:tab w:val="right" w:leader="dot" w:pos="8975"/>
        </w:tabs>
      </w:pPr>
      <w:r>
        <w:rPr>
          <w:rFonts w:hint="eastAsia" w:cs="宋体"/>
        </w:rPr>
        <w:fldChar w:fldCharType="begin"/>
      </w:r>
      <w:r>
        <w:rPr>
          <w:rFonts w:hint="eastAsia" w:cs="宋体"/>
        </w:rPr>
        <w:instrText xml:space="preserve"> HYPERLINK \l _Toc11378 </w:instrText>
      </w:r>
      <w:r>
        <w:rPr>
          <w:rFonts w:hint="eastAsia" w:cs="宋体"/>
        </w:rPr>
        <w:fldChar w:fldCharType="separate"/>
      </w:r>
      <w:r>
        <w:rPr>
          <w:rFonts w:hint="eastAsia"/>
          <w:bCs/>
          <w:szCs w:val="24"/>
        </w:rPr>
        <w:t>1.1法律法规</w:t>
      </w:r>
      <w:r>
        <w:tab/>
      </w:r>
      <w:r>
        <w:fldChar w:fldCharType="begin"/>
      </w:r>
      <w:r>
        <w:instrText xml:space="preserve"> PAGEREF _Toc11378 \h </w:instrText>
      </w:r>
      <w:r>
        <w:fldChar w:fldCharType="separate"/>
      </w:r>
      <w:r>
        <w:t>6</w:t>
      </w:r>
      <w:r>
        <w:fldChar w:fldCharType="end"/>
      </w:r>
      <w:r>
        <w:rPr>
          <w:rFonts w:hint="eastAsia" w:cs="宋体"/>
        </w:rPr>
        <w:fldChar w:fldCharType="end"/>
      </w:r>
    </w:p>
    <w:p w14:paraId="61AE5276">
      <w:pPr>
        <w:pStyle w:val="18"/>
        <w:tabs>
          <w:tab w:val="right" w:leader="dot" w:pos="8975"/>
        </w:tabs>
      </w:pPr>
      <w:r>
        <w:rPr>
          <w:rFonts w:hint="eastAsia" w:cs="宋体"/>
        </w:rPr>
        <w:fldChar w:fldCharType="begin"/>
      </w:r>
      <w:r>
        <w:rPr>
          <w:rFonts w:hint="eastAsia" w:cs="宋体"/>
        </w:rPr>
        <w:instrText xml:space="preserve"> HYPERLINK \l _Toc2210 </w:instrText>
      </w:r>
      <w:r>
        <w:rPr>
          <w:rFonts w:hint="eastAsia" w:cs="宋体"/>
        </w:rPr>
        <w:fldChar w:fldCharType="separate"/>
      </w:r>
      <w:r>
        <w:rPr>
          <w:rFonts w:hint="eastAsia"/>
          <w:bCs/>
          <w:szCs w:val="24"/>
        </w:rPr>
        <w:t>1.2设备管理规章制度</w:t>
      </w:r>
      <w:r>
        <w:tab/>
      </w:r>
      <w:r>
        <w:fldChar w:fldCharType="begin"/>
      </w:r>
      <w:r>
        <w:instrText xml:space="preserve"> PAGEREF _Toc2210 \h </w:instrText>
      </w:r>
      <w:r>
        <w:fldChar w:fldCharType="separate"/>
      </w:r>
      <w:r>
        <w:t>7</w:t>
      </w:r>
      <w:r>
        <w:fldChar w:fldCharType="end"/>
      </w:r>
      <w:r>
        <w:rPr>
          <w:rFonts w:hint="eastAsia" w:cs="宋体"/>
        </w:rPr>
        <w:fldChar w:fldCharType="end"/>
      </w:r>
    </w:p>
    <w:p w14:paraId="12FD5C15">
      <w:pPr>
        <w:pStyle w:val="18"/>
        <w:tabs>
          <w:tab w:val="right" w:leader="dot" w:pos="8975"/>
        </w:tabs>
      </w:pPr>
      <w:r>
        <w:rPr>
          <w:rFonts w:hint="eastAsia" w:cs="宋体"/>
        </w:rPr>
        <w:fldChar w:fldCharType="begin"/>
      </w:r>
      <w:r>
        <w:rPr>
          <w:rFonts w:hint="eastAsia" w:cs="宋体"/>
        </w:rPr>
        <w:instrText xml:space="preserve"> HYPERLINK \l _Toc5021 </w:instrText>
      </w:r>
      <w:r>
        <w:rPr>
          <w:rFonts w:hint="eastAsia" w:cs="宋体"/>
        </w:rPr>
        <w:fldChar w:fldCharType="separate"/>
      </w:r>
      <w:r>
        <w:rPr>
          <w:rFonts w:hint="eastAsia"/>
          <w:bCs/>
          <w:szCs w:val="24"/>
        </w:rPr>
        <w:t>1.3技术人员学习</w:t>
      </w:r>
      <w:r>
        <w:tab/>
      </w:r>
      <w:r>
        <w:fldChar w:fldCharType="begin"/>
      </w:r>
      <w:r>
        <w:instrText xml:space="preserve"> PAGEREF _Toc5021 \h </w:instrText>
      </w:r>
      <w:r>
        <w:fldChar w:fldCharType="separate"/>
      </w:r>
      <w:r>
        <w:t>7</w:t>
      </w:r>
      <w:r>
        <w:fldChar w:fldCharType="end"/>
      </w:r>
      <w:r>
        <w:rPr>
          <w:rFonts w:hint="eastAsia" w:cs="宋体"/>
        </w:rPr>
        <w:fldChar w:fldCharType="end"/>
      </w:r>
    </w:p>
    <w:p w14:paraId="77461CEC">
      <w:pPr>
        <w:pStyle w:val="18"/>
        <w:tabs>
          <w:tab w:val="right" w:leader="dot" w:pos="8975"/>
        </w:tabs>
      </w:pPr>
      <w:r>
        <w:rPr>
          <w:rFonts w:hint="eastAsia" w:cs="宋体"/>
        </w:rPr>
        <w:fldChar w:fldCharType="begin"/>
      </w:r>
      <w:r>
        <w:rPr>
          <w:rFonts w:hint="eastAsia" w:cs="宋体"/>
        </w:rPr>
        <w:instrText xml:space="preserve"> HYPERLINK \l _Toc7355 </w:instrText>
      </w:r>
      <w:r>
        <w:rPr>
          <w:rFonts w:hint="eastAsia" w:cs="宋体"/>
        </w:rPr>
        <w:fldChar w:fldCharType="separate"/>
      </w:r>
      <w:r>
        <w:rPr>
          <w:rFonts w:hint="eastAsia"/>
          <w:bCs/>
          <w:szCs w:val="24"/>
        </w:rPr>
        <w:t>1.4</w:t>
      </w:r>
      <w:r>
        <w:rPr>
          <w:rFonts w:hint="eastAsia"/>
          <w:bCs/>
          <w:szCs w:val="24"/>
          <w:lang w:val="en-US" w:eastAsia="zh-CN"/>
        </w:rPr>
        <w:t>资产</w:t>
      </w:r>
      <w:r>
        <w:rPr>
          <w:rFonts w:hint="eastAsia"/>
          <w:bCs/>
          <w:szCs w:val="24"/>
        </w:rPr>
        <w:t>台账管理</w:t>
      </w:r>
      <w:r>
        <w:tab/>
      </w:r>
      <w:r>
        <w:fldChar w:fldCharType="begin"/>
      </w:r>
      <w:r>
        <w:instrText xml:space="preserve"> PAGEREF _Toc7355 \h </w:instrText>
      </w:r>
      <w:r>
        <w:fldChar w:fldCharType="separate"/>
      </w:r>
      <w:r>
        <w:t>7</w:t>
      </w:r>
      <w:r>
        <w:fldChar w:fldCharType="end"/>
      </w:r>
      <w:r>
        <w:rPr>
          <w:rFonts w:hint="eastAsia" w:cs="宋体"/>
        </w:rPr>
        <w:fldChar w:fldCharType="end"/>
      </w:r>
    </w:p>
    <w:p w14:paraId="210AE039">
      <w:pPr>
        <w:pStyle w:val="13"/>
        <w:tabs>
          <w:tab w:val="right" w:leader="dot" w:pos="8975"/>
        </w:tabs>
      </w:pPr>
      <w:r>
        <w:rPr>
          <w:rFonts w:hint="eastAsia" w:cs="宋体"/>
        </w:rPr>
        <w:fldChar w:fldCharType="begin"/>
      </w:r>
      <w:r>
        <w:rPr>
          <w:rFonts w:hint="eastAsia" w:cs="宋体"/>
        </w:rPr>
        <w:instrText xml:space="preserve"> HYPERLINK \l _Toc10526 </w:instrText>
      </w:r>
      <w:r>
        <w:rPr>
          <w:rFonts w:hint="eastAsia" w:cs="宋体"/>
        </w:rPr>
        <w:fldChar w:fldCharType="separate"/>
      </w:r>
      <w:r>
        <w:rPr>
          <w:rFonts w:hint="eastAsia" w:cs="宋体"/>
          <w:kern w:val="2"/>
          <w:szCs w:val="24"/>
        </w:rPr>
        <w:t>2.设备前期管理</w:t>
      </w:r>
      <w:r>
        <w:tab/>
      </w:r>
      <w:r>
        <w:fldChar w:fldCharType="begin"/>
      </w:r>
      <w:r>
        <w:instrText xml:space="preserve"> PAGEREF _Toc10526 \h </w:instrText>
      </w:r>
      <w:r>
        <w:fldChar w:fldCharType="separate"/>
      </w:r>
      <w:r>
        <w:t>8</w:t>
      </w:r>
      <w:r>
        <w:fldChar w:fldCharType="end"/>
      </w:r>
      <w:r>
        <w:rPr>
          <w:rFonts w:hint="eastAsia" w:cs="宋体"/>
        </w:rPr>
        <w:fldChar w:fldCharType="end"/>
      </w:r>
    </w:p>
    <w:p w14:paraId="6476DBAD">
      <w:pPr>
        <w:pStyle w:val="18"/>
        <w:tabs>
          <w:tab w:val="right" w:leader="dot" w:pos="8975"/>
        </w:tabs>
      </w:pPr>
      <w:r>
        <w:rPr>
          <w:rFonts w:hint="eastAsia" w:cs="宋体"/>
        </w:rPr>
        <w:fldChar w:fldCharType="begin"/>
      </w:r>
      <w:r>
        <w:rPr>
          <w:rFonts w:hint="eastAsia" w:cs="宋体"/>
        </w:rPr>
        <w:instrText xml:space="preserve"> HYPERLINK \l _Toc23277 </w:instrText>
      </w:r>
      <w:r>
        <w:rPr>
          <w:rFonts w:hint="eastAsia" w:cs="宋体"/>
        </w:rPr>
        <w:fldChar w:fldCharType="separate"/>
      </w:r>
      <w:r>
        <w:rPr>
          <w:rFonts w:hint="eastAsia"/>
          <w:bCs/>
          <w:szCs w:val="24"/>
        </w:rPr>
        <w:t>2.1物编管理</w:t>
      </w:r>
      <w:r>
        <w:tab/>
      </w:r>
      <w:r>
        <w:fldChar w:fldCharType="begin"/>
      </w:r>
      <w:r>
        <w:instrText xml:space="preserve"> PAGEREF _Toc23277 \h </w:instrText>
      </w:r>
      <w:r>
        <w:fldChar w:fldCharType="separate"/>
      </w:r>
      <w:r>
        <w:t>8</w:t>
      </w:r>
      <w:r>
        <w:fldChar w:fldCharType="end"/>
      </w:r>
      <w:r>
        <w:rPr>
          <w:rFonts w:hint="eastAsia" w:cs="宋体"/>
        </w:rPr>
        <w:fldChar w:fldCharType="end"/>
      </w:r>
    </w:p>
    <w:p w14:paraId="3E8725E7">
      <w:pPr>
        <w:pStyle w:val="18"/>
        <w:tabs>
          <w:tab w:val="right" w:leader="dot" w:pos="8975"/>
        </w:tabs>
      </w:pPr>
      <w:r>
        <w:rPr>
          <w:rFonts w:hint="eastAsia" w:cs="宋体"/>
        </w:rPr>
        <w:fldChar w:fldCharType="begin"/>
      </w:r>
      <w:r>
        <w:rPr>
          <w:rFonts w:hint="eastAsia" w:cs="宋体"/>
        </w:rPr>
        <w:instrText xml:space="preserve"> HYPERLINK \l _Toc5645 </w:instrText>
      </w:r>
      <w:r>
        <w:rPr>
          <w:rFonts w:hint="eastAsia" w:cs="宋体"/>
        </w:rPr>
        <w:fldChar w:fldCharType="separate"/>
      </w:r>
      <w:r>
        <w:rPr>
          <w:rFonts w:hint="eastAsia"/>
          <w:bCs/>
          <w:szCs w:val="24"/>
        </w:rPr>
        <w:t>2.2设备申购</w:t>
      </w:r>
      <w:r>
        <w:tab/>
      </w:r>
      <w:r>
        <w:fldChar w:fldCharType="begin"/>
      </w:r>
      <w:r>
        <w:instrText xml:space="preserve"> PAGEREF _Toc5645 \h </w:instrText>
      </w:r>
      <w:r>
        <w:fldChar w:fldCharType="separate"/>
      </w:r>
      <w:r>
        <w:t>9</w:t>
      </w:r>
      <w:r>
        <w:fldChar w:fldCharType="end"/>
      </w:r>
      <w:r>
        <w:rPr>
          <w:rFonts w:hint="eastAsia" w:cs="宋体"/>
        </w:rPr>
        <w:fldChar w:fldCharType="end"/>
      </w:r>
    </w:p>
    <w:p w14:paraId="578DBF8F">
      <w:pPr>
        <w:pStyle w:val="18"/>
        <w:tabs>
          <w:tab w:val="right" w:leader="dot" w:pos="8975"/>
        </w:tabs>
      </w:pPr>
      <w:r>
        <w:rPr>
          <w:rFonts w:hint="eastAsia" w:cs="宋体"/>
        </w:rPr>
        <w:fldChar w:fldCharType="begin"/>
      </w:r>
      <w:r>
        <w:rPr>
          <w:rFonts w:hint="eastAsia" w:cs="宋体"/>
        </w:rPr>
        <w:instrText xml:space="preserve"> HYPERLINK \l _Toc12983 </w:instrText>
      </w:r>
      <w:r>
        <w:rPr>
          <w:rFonts w:hint="eastAsia" w:cs="宋体"/>
        </w:rPr>
        <w:fldChar w:fldCharType="separate"/>
      </w:r>
      <w:r>
        <w:rPr>
          <w:rFonts w:hint="eastAsia"/>
          <w:bCs/>
          <w:szCs w:val="24"/>
        </w:rPr>
        <w:t>2.3设备到货验收</w:t>
      </w:r>
      <w:r>
        <w:tab/>
      </w:r>
      <w:r>
        <w:fldChar w:fldCharType="begin"/>
      </w:r>
      <w:r>
        <w:instrText xml:space="preserve"> PAGEREF _Toc12983 \h </w:instrText>
      </w:r>
      <w:r>
        <w:fldChar w:fldCharType="separate"/>
      </w:r>
      <w:r>
        <w:t>10</w:t>
      </w:r>
      <w:r>
        <w:fldChar w:fldCharType="end"/>
      </w:r>
      <w:r>
        <w:rPr>
          <w:rFonts w:hint="eastAsia" w:cs="宋体"/>
        </w:rPr>
        <w:fldChar w:fldCharType="end"/>
      </w:r>
    </w:p>
    <w:p w14:paraId="0EB2F8DE">
      <w:pPr>
        <w:pStyle w:val="18"/>
        <w:tabs>
          <w:tab w:val="right" w:leader="dot" w:pos="8975"/>
        </w:tabs>
      </w:pPr>
      <w:r>
        <w:rPr>
          <w:rFonts w:hint="eastAsia" w:cs="宋体"/>
        </w:rPr>
        <w:fldChar w:fldCharType="begin"/>
      </w:r>
      <w:r>
        <w:rPr>
          <w:rFonts w:hint="eastAsia" w:cs="宋体"/>
        </w:rPr>
        <w:instrText xml:space="preserve"> HYPERLINK \l _Toc29576 </w:instrText>
      </w:r>
      <w:r>
        <w:rPr>
          <w:rFonts w:hint="eastAsia" w:cs="宋体"/>
        </w:rPr>
        <w:fldChar w:fldCharType="separate"/>
      </w:r>
      <w:r>
        <w:rPr>
          <w:rFonts w:hint="eastAsia"/>
          <w:bCs/>
          <w:szCs w:val="24"/>
        </w:rPr>
        <w:t>2.4安装调试验收</w:t>
      </w:r>
      <w:r>
        <w:tab/>
      </w:r>
      <w:r>
        <w:fldChar w:fldCharType="begin"/>
      </w:r>
      <w:r>
        <w:instrText xml:space="preserve"> PAGEREF _Toc29576 \h </w:instrText>
      </w:r>
      <w:r>
        <w:fldChar w:fldCharType="separate"/>
      </w:r>
      <w:r>
        <w:t>11</w:t>
      </w:r>
      <w:r>
        <w:fldChar w:fldCharType="end"/>
      </w:r>
      <w:r>
        <w:rPr>
          <w:rFonts w:hint="eastAsia" w:cs="宋体"/>
        </w:rPr>
        <w:fldChar w:fldCharType="end"/>
      </w:r>
    </w:p>
    <w:p w14:paraId="62ECC7A2">
      <w:pPr>
        <w:pStyle w:val="18"/>
        <w:tabs>
          <w:tab w:val="right" w:leader="dot" w:pos="8975"/>
        </w:tabs>
      </w:pPr>
      <w:r>
        <w:rPr>
          <w:rFonts w:hint="eastAsia" w:cs="宋体"/>
        </w:rPr>
        <w:fldChar w:fldCharType="begin"/>
      </w:r>
      <w:r>
        <w:rPr>
          <w:rFonts w:hint="eastAsia" w:cs="宋体"/>
        </w:rPr>
        <w:instrText xml:space="preserve"> HYPERLINK \l _Toc10715 </w:instrText>
      </w:r>
      <w:r>
        <w:rPr>
          <w:rFonts w:hint="eastAsia" w:cs="宋体"/>
        </w:rPr>
        <w:fldChar w:fldCharType="separate"/>
      </w:r>
      <w:r>
        <w:rPr>
          <w:rFonts w:hint="eastAsia"/>
          <w:bCs/>
          <w:szCs w:val="24"/>
        </w:rPr>
        <w:t>2.5分级管理</w:t>
      </w:r>
      <w:r>
        <w:tab/>
      </w:r>
      <w:r>
        <w:fldChar w:fldCharType="begin"/>
      </w:r>
      <w:r>
        <w:instrText xml:space="preserve"> PAGEREF _Toc10715 \h </w:instrText>
      </w:r>
      <w:r>
        <w:fldChar w:fldCharType="separate"/>
      </w:r>
      <w:r>
        <w:t>11</w:t>
      </w:r>
      <w:r>
        <w:fldChar w:fldCharType="end"/>
      </w:r>
      <w:r>
        <w:rPr>
          <w:rFonts w:hint="eastAsia" w:cs="宋体"/>
        </w:rPr>
        <w:fldChar w:fldCharType="end"/>
      </w:r>
    </w:p>
    <w:p w14:paraId="302B6F54">
      <w:pPr>
        <w:pStyle w:val="18"/>
        <w:tabs>
          <w:tab w:val="right" w:leader="dot" w:pos="8975"/>
        </w:tabs>
      </w:pPr>
      <w:r>
        <w:rPr>
          <w:rFonts w:hint="eastAsia" w:cs="宋体"/>
        </w:rPr>
        <w:fldChar w:fldCharType="begin"/>
      </w:r>
      <w:r>
        <w:rPr>
          <w:rFonts w:hint="eastAsia" w:cs="宋体"/>
        </w:rPr>
        <w:instrText xml:space="preserve"> HYPERLINK \l _Toc9468 </w:instrText>
      </w:r>
      <w:r>
        <w:rPr>
          <w:rFonts w:hint="eastAsia" w:cs="宋体"/>
        </w:rPr>
        <w:fldChar w:fldCharType="separate"/>
      </w:r>
      <w:r>
        <w:rPr>
          <w:rFonts w:hint="eastAsia"/>
          <w:bCs/>
          <w:szCs w:val="24"/>
        </w:rPr>
        <w:t>2.6设备维护策略</w:t>
      </w:r>
      <w:r>
        <w:tab/>
      </w:r>
      <w:r>
        <w:fldChar w:fldCharType="begin"/>
      </w:r>
      <w:r>
        <w:instrText xml:space="preserve"> PAGEREF _Toc9468 \h </w:instrText>
      </w:r>
      <w:r>
        <w:fldChar w:fldCharType="separate"/>
      </w:r>
      <w:r>
        <w:t>11</w:t>
      </w:r>
      <w:r>
        <w:fldChar w:fldCharType="end"/>
      </w:r>
      <w:r>
        <w:rPr>
          <w:rFonts w:hint="eastAsia" w:cs="宋体"/>
        </w:rPr>
        <w:fldChar w:fldCharType="end"/>
      </w:r>
    </w:p>
    <w:p w14:paraId="1E4DB223">
      <w:pPr>
        <w:pStyle w:val="18"/>
        <w:tabs>
          <w:tab w:val="right" w:leader="dot" w:pos="8975"/>
        </w:tabs>
      </w:pPr>
      <w:r>
        <w:rPr>
          <w:rFonts w:hint="eastAsia" w:cs="宋体"/>
        </w:rPr>
        <w:fldChar w:fldCharType="begin"/>
      </w:r>
      <w:r>
        <w:rPr>
          <w:rFonts w:hint="eastAsia" w:cs="宋体"/>
        </w:rPr>
        <w:instrText xml:space="preserve"> HYPERLINK \l _Toc32764 </w:instrText>
      </w:r>
      <w:r>
        <w:rPr>
          <w:rFonts w:hint="eastAsia" w:cs="宋体"/>
        </w:rPr>
        <w:fldChar w:fldCharType="separate"/>
      </w:r>
      <w:r>
        <w:rPr>
          <w:rFonts w:hint="eastAsia"/>
          <w:bCs/>
          <w:szCs w:val="24"/>
        </w:rPr>
        <w:t>2.7设备操作检修规程</w:t>
      </w:r>
      <w:r>
        <w:tab/>
      </w:r>
      <w:r>
        <w:fldChar w:fldCharType="begin"/>
      </w:r>
      <w:r>
        <w:instrText xml:space="preserve"> PAGEREF _Toc32764 \h </w:instrText>
      </w:r>
      <w:r>
        <w:fldChar w:fldCharType="separate"/>
      </w:r>
      <w:r>
        <w:t>12</w:t>
      </w:r>
      <w:r>
        <w:fldChar w:fldCharType="end"/>
      </w:r>
      <w:r>
        <w:rPr>
          <w:rFonts w:hint="eastAsia" w:cs="宋体"/>
        </w:rPr>
        <w:fldChar w:fldCharType="end"/>
      </w:r>
    </w:p>
    <w:p w14:paraId="5774BD20">
      <w:pPr>
        <w:pStyle w:val="13"/>
        <w:tabs>
          <w:tab w:val="right" w:leader="dot" w:pos="8975"/>
        </w:tabs>
      </w:pPr>
      <w:r>
        <w:rPr>
          <w:rFonts w:hint="eastAsia" w:cs="宋体"/>
        </w:rPr>
        <w:fldChar w:fldCharType="begin"/>
      </w:r>
      <w:r>
        <w:rPr>
          <w:rFonts w:hint="eastAsia" w:cs="宋体"/>
        </w:rPr>
        <w:instrText xml:space="preserve"> HYPERLINK \l _Toc21958 </w:instrText>
      </w:r>
      <w:r>
        <w:rPr>
          <w:rFonts w:hint="eastAsia" w:cs="宋体"/>
        </w:rPr>
        <w:fldChar w:fldCharType="separate"/>
      </w:r>
      <w:r>
        <w:rPr>
          <w:rFonts w:hint="eastAsia" w:cs="宋体"/>
          <w:kern w:val="2"/>
          <w:szCs w:val="24"/>
        </w:rPr>
        <w:t>3.设备运行管理</w:t>
      </w:r>
      <w:r>
        <w:tab/>
      </w:r>
      <w:r>
        <w:fldChar w:fldCharType="begin"/>
      </w:r>
      <w:r>
        <w:instrText xml:space="preserve"> PAGEREF _Toc21958 \h </w:instrText>
      </w:r>
      <w:r>
        <w:fldChar w:fldCharType="separate"/>
      </w:r>
      <w:r>
        <w:t>13</w:t>
      </w:r>
      <w:r>
        <w:fldChar w:fldCharType="end"/>
      </w:r>
      <w:r>
        <w:rPr>
          <w:rFonts w:hint="eastAsia" w:cs="宋体"/>
        </w:rPr>
        <w:fldChar w:fldCharType="end"/>
      </w:r>
    </w:p>
    <w:p w14:paraId="179643D8">
      <w:pPr>
        <w:pStyle w:val="18"/>
        <w:tabs>
          <w:tab w:val="right" w:leader="dot" w:pos="8975"/>
        </w:tabs>
      </w:pPr>
      <w:r>
        <w:rPr>
          <w:rFonts w:hint="eastAsia" w:cs="宋体"/>
        </w:rPr>
        <w:fldChar w:fldCharType="begin"/>
      </w:r>
      <w:r>
        <w:rPr>
          <w:rFonts w:hint="eastAsia" w:cs="宋体"/>
        </w:rPr>
        <w:instrText xml:space="preserve"> HYPERLINK \l _Toc31803 </w:instrText>
      </w:r>
      <w:r>
        <w:rPr>
          <w:rFonts w:hint="eastAsia" w:cs="宋体"/>
        </w:rPr>
        <w:fldChar w:fldCharType="separate"/>
      </w:r>
      <w:r>
        <w:rPr>
          <w:rFonts w:hint="eastAsia"/>
          <w:bCs/>
          <w:szCs w:val="24"/>
        </w:rPr>
        <w:t>3.1设备巡检管理</w:t>
      </w:r>
      <w:r>
        <w:tab/>
      </w:r>
      <w:r>
        <w:fldChar w:fldCharType="begin"/>
      </w:r>
      <w:r>
        <w:instrText xml:space="preserve"> PAGEREF _Toc31803 \h </w:instrText>
      </w:r>
      <w:r>
        <w:fldChar w:fldCharType="separate"/>
      </w:r>
      <w:r>
        <w:t>13</w:t>
      </w:r>
      <w:r>
        <w:fldChar w:fldCharType="end"/>
      </w:r>
      <w:r>
        <w:rPr>
          <w:rFonts w:hint="eastAsia" w:cs="宋体"/>
        </w:rPr>
        <w:fldChar w:fldCharType="end"/>
      </w:r>
    </w:p>
    <w:p w14:paraId="3A67BF7F">
      <w:pPr>
        <w:pStyle w:val="18"/>
        <w:tabs>
          <w:tab w:val="right" w:leader="dot" w:pos="8975"/>
        </w:tabs>
      </w:pPr>
      <w:r>
        <w:rPr>
          <w:rFonts w:hint="eastAsia" w:cs="宋体"/>
        </w:rPr>
        <w:fldChar w:fldCharType="begin"/>
      </w:r>
      <w:r>
        <w:rPr>
          <w:rFonts w:hint="eastAsia" w:cs="宋体"/>
        </w:rPr>
        <w:instrText xml:space="preserve"> HYPERLINK \l _Toc15567 </w:instrText>
      </w:r>
      <w:r>
        <w:rPr>
          <w:rFonts w:hint="eastAsia" w:cs="宋体"/>
        </w:rPr>
        <w:fldChar w:fldCharType="separate"/>
      </w:r>
      <w:r>
        <w:rPr>
          <w:rFonts w:hint="eastAsia"/>
          <w:bCs/>
          <w:szCs w:val="24"/>
        </w:rPr>
        <w:t>3.2设备缺陷管理</w:t>
      </w:r>
      <w:r>
        <w:tab/>
      </w:r>
      <w:r>
        <w:fldChar w:fldCharType="begin"/>
      </w:r>
      <w:r>
        <w:instrText xml:space="preserve"> PAGEREF _Toc15567 \h </w:instrText>
      </w:r>
      <w:r>
        <w:fldChar w:fldCharType="separate"/>
      </w:r>
      <w:r>
        <w:t>14</w:t>
      </w:r>
      <w:r>
        <w:fldChar w:fldCharType="end"/>
      </w:r>
      <w:r>
        <w:rPr>
          <w:rFonts w:hint="eastAsia" w:cs="宋体"/>
        </w:rPr>
        <w:fldChar w:fldCharType="end"/>
      </w:r>
    </w:p>
    <w:p w14:paraId="0B6BF6D5">
      <w:pPr>
        <w:pStyle w:val="18"/>
        <w:tabs>
          <w:tab w:val="right" w:leader="dot" w:pos="8975"/>
        </w:tabs>
      </w:pPr>
      <w:r>
        <w:rPr>
          <w:rFonts w:hint="eastAsia" w:cs="宋体"/>
        </w:rPr>
        <w:fldChar w:fldCharType="begin"/>
      </w:r>
      <w:r>
        <w:rPr>
          <w:rFonts w:hint="eastAsia" w:cs="宋体"/>
        </w:rPr>
        <w:instrText xml:space="preserve"> HYPERLINK \l _Toc7400 </w:instrText>
      </w:r>
      <w:r>
        <w:rPr>
          <w:rFonts w:hint="eastAsia" w:cs="宋体"/>
        </w:rPr>
        <w:fldChar w:fldCharType="separate"/>
      </w:r>
      <w:r>
        <w:rPr>
          <w:rFonts w:hint="eastAsia"/>
          <w:bCs/>
          <w:szCs w:val="24"/>
        </w:rPr>
        <w:t>3.3设备定期维护</w:t>
      </w:r>
      <w:r>
        <w:tab/>
      </w:r>
      <w:r>
        <w:fldChar w:fldCharType="begin"/>
      </w:r>
      <w:r>
        <w:instrText xml:space="preserve"> PAGEREF _Toc7400 \h </w:instrText>
      </w:r>
      <w:r>
        <w:fldChar w:fldCharType="separate"/>
      </w:r>
      <w:r>
        <w:t>17</w:t>
      </w:r>
      <w:r>
        <w:fldChar w:fldCharType="end"/>
      </w:r>
      <w:r>
        <w:rPr>
          <w:rFonts w:hint="eastAsia" w:cs="宋体"/>
        </w:rPr>
        <w:fldChar w:fldCharType="end"/>
      </w:r>
    </w:p>
    <w:p w14:paraId="4134ECCA">
      <w:pPr>
        <w:pStyle w:val="18"/>
        <w:tabs>
          <w:tab w:val="right" w:leader="dot" w:pos="8975"/>
        </w:tabs>
      </w:pPr>
      <w:r>
        <w:rPr>
          <w:rFonts w:hint="eastAsia" w:cs="宋体"/>
        </w:rPr>
        <w:fldChar w:fldCharType="begin"/>
      </w:r>
      <w:r>
        <w:rPr>
          <w:rFonts w:hint="eastAsia" w:cs="宋体"/>
        </w:rPr>
        <w:instrText xml:space="preserve"> HYPERLINK \l _Toc7695 </w:instrText>
      </w:r>
      <w:r>
        <w:rPr>
          <w:rFonts w:hint="eastAsia" w:cs="宋体"/>
        </w:rPr>
        <w:fldChar w:fldCharType="separate"/>
      </w:r>
      <w:r>
        <w:rPr>
          <w:rFonts w:hint="eastAsia"/>
          <w:bCs/>
          <w:szCs w:val="24"/>
        </w:rPr>
        <w:t>3.4检维修管理</w:t>
      </w:r>
      <w:r>
        <w:tab/>
      </w:r>
      <w:r>
        <w:fldChar w:fldCharType="begin"/>
      </w:r>
      <w:r>
        <w:instrText xml:space="preserve"> PAGEREF _Toc7695 \h </w:instrText>
      </w:r>
      <w:r>
        <w:fldChar w:fldCharType="separate"/>
      </w:r>
      <w:r>
        <w:t>17</w:t>
      </w:r>
      <w:r>
        <w:fldChar w:fldCharType="end"/>
      </w:r>
      <w:r>
        <w:rPr>
          <w:rFonts w:hint="eastAsia" w:cs="宋体"/>
        </w:rPr>
        <w:fldChar w:fldCharType="end"/>
      </w:r>
    </w:p>
    <w:p w14:paraId="0658FB14">
      <w:pPr>
        <w:pStyle w:val="18"/>
        <w:tabs>
          <w:tab w:val="right" w:leader="dot" w:pos="8975"/>
        </w:tabs>
      </w:pPr>
      <w:r>
        <w:rPr>
          <w:rFonts w:hint="eastAsia" w:cs="宋体"/>
        </w:rPr>
        <w:fldChar w:fldCharType="begin"/>
      </w:r>
      <w:r>
        <w:rPr>
          <w:rFonts w:hint="eastAsia" w:cs="宋体"/>
        </w:rPr>
        <w:instrText xml:space="preserve"> HYPERLINK \l _Toc24951 </w:instrText>
      </w:r>
      <w:r>
        <w:rPr>
          <w:rFonts w:hint="eastAsia" w:cs="宋体"/>
        </w:rPr>
        <w:fldChar w:fldCharType="separate"/>
      </w:r>
      <w:r>
        <w:rPr>
          <w:rFonts w:hint="eastAsia"/>
          <w:bCs/>
          <w:szCs w:val="24"/>
        </w:rPr>
        <w:t>3.5库存管理</w:t>
      </w:r>
      <w:r>
        <w:tab/>
      </w:r>
      <w:r>
        <w:fldChar w:fldCharType="begin"/>
      </w:r>
      <w:r>
        <w:instrText xml:space="preserve"> PAGEREF _Toc24951 \h </w:instrText>
      </w:r>
      <w:r>
        <w:fldChar w:fldCharType="separate"/>
      </w:r>
      <w:r>
        <w:t>18</w:t>
      </w:r>
      <w:r>
        <w:fldChar w:fldCharType="end"/>
      </w:r>
      <w:r>
        <w:rPr>
          <w:rFonts w:hint="eastAsia" w:cs="宋体"/>
        </w:rPr>
        <w:fldChar w:fldCharType="end"/>
      </w:r>
    </w:p>
    <w:p w14:paraId="110CC6AB">
      <w:pPr>
        <w:pStyle w:val="18"/>
        <w:tabs>
          <w:tab w:val="right" w:leader="dot" w:pos="8975"/>
        </w:tabs>
      </w:pPr>
      <w:r>
        <w:rPr>
          <w:rFonts w:hint="eastAsia" w:cs="宋体"/>
        </w:rPr>
        <w:fldChar w:fldCharType="begin"/>
      </w:r>
      <w:r>
        <w:rPr>
          <w:rFonts w:hint="eastAsia" w:cs="宋体"/>
        </w:rPr>
        <w:instrText xml:space="preserve"> HYPERLINK \l _Toc280 </w:instrText>
      </w:r>
      <w:r>
        <w:rPr>
          <w:rFonts w:hint="eastAsia" w:cs="宋体"/>
        </w:rPr>
        <w:fldChar w:fldCharType="separate"/>
      </w:r>
      <w:r>
        <w:rPr>
          <w:rFonts w:hint="eastAsia"/>
          <w:bCs/>
          <w:szCs w:val="24"/>
        </w:rPr>
        <w:t>3.6费用管理</w:t>
      </w:r>
      <w:r>
        <w:tab/>
      </w:r>
      <w:r>
        <w:fldChar w:fldCharType="begin"/>
      </w:r>
      <w:r>
        <w:instrText xml:space="preserve"> PAGEREF _Toc280 \h </w:instrText>
      </w:r>
      <w:r>
        <w:fldChar w:fldCharType="separate"/>
      </w:r>
      <w:r>
        <w:t>19</w:t>
      </w:r>
      <w:r>
        <w:fldChar w:fldCharType="end"/>
      </w:r>
      <w:r>
        <w:rPr>
          <w:rFonts w:hint="eastAsia" w:cs="宋体"/>
        </w:rPr>
        <w:fldChar w:fldCharType="end"/>
      </w:r>
    </w:p>
    <w:p w14:paraId="3978DB2A">
      <w:pPr>
        <w:pStyle w:val="18"/>
        <w:tabs>
          <w:tab w:val="right" w:leader="dot" w:pos="8975"/>
        </w:tabs>
      </w:pPr>
      <w:r>
        <w:rPr>
          <w:rFonts w:hint="eastAsia" w:cs="宋体"/>
        </w:rPr>
        <w:fldChar w:fldCharType="begin"/>
      </w:r>
      <w:r>
        <w:rPr>
          <w:rFonts w:hint="eastAsia" w:cs="宋体"/>
        </w:rPr>
        <w:instrText xml:space="preserve"> HYPERLINK \l _Toc26967 </w:instrText>
      </w:r>
      <w:r>
        <w:rPr>
          <w:rFonts w:hint="eastAsia" w:cs="宋体"/>
        </w:rPr>
        <w:fldChar w:fldCharType="separate"/>
      </w:r>
      <w:r>
        <w:rPr>
          <w:rFonts w:hint="eastAsia"/>
          <w:bCs/>
          <w:szCs w:val="24"/>
        </w:rPr>
        <w:t>3.7特种设备管理</w:t>
      </w:r>
      <w:r>
        <w:tab/>
      </w:r>
      <w:r>
        <w:fldChar w:fldCharType="begin"/>
      </w:r>
      <w:r>
        <w:instrText xml:space="preserve"> PAGEREF _Toc26967 \h </w:instrText>
      </w:r>
      <w:r>
        <w:fldChar w:fldCharType="separate"/>
      </w:r>
      <w:r>
        <w:t>19</w:t>
      </w:r>
      <w:r>
        <w:fldChar w:fldCharType="end"/>
      </w:r>
      <w:r>
        <w:rPr>
          <w:rFonts w:hint="eastAsia" w:cs="宋体"/>
        </w:rPr>
        <w:fldChar w:fldCharType="end"/>
      </w:r>
    </w:p>
    <w:p w14:paraId="59D97381">
      <w:pPr>
        <w:pStyle w:val="18"/>
        <w:tabs>
          <w:tab w:val="right" w:leader="dot" w:pos="8975"/>
        </w:tabs>
      </w:pPr>
      <w:r>
        <w:rPr>
          <w:rFonts w:hint="eastAsia" w:cs="宋体"/>
        </w:rPr>
        <w:fldChar w:fldCharType="begin"/>
      </w:r>
      <w:r>
        <w:rPr>
          <w:rFonts w:hint="eastAsia" w:cs="宋体"/>
        </w:rPr>
        <w:instrText xml:space="preserve"> HYPERLINK \l _Toc3359 </w:instrText>
      </w:r>
      <w:r>
        <w:rPr>
          <w:rFonts w:hint="eastAsia" w:cs="宋体"/>
        </w:rPr>
        <w:fldChar w:fldCharType="separate"/>
      </w:r>
      <w:r>
        <w:rPr>
          <w:rFonts w:hint="eastAsia"/>
          <w:bCs/>
          <w:szCs w:val="24"/>
        </w:rPr>
        <w:t>3.8风险管理</w:t>
      </w:r>
      <w:r>
        <w:tab/>
      </w:r>
      <w:r>
        <w:fldChar w:fldCharType="begin"/>
      </w:r>
      <w:r>
        <w:instrText xml:space="preserve"> PAGEREF _Toc3359 \h </w:instrText>
      </w:r>
      <w:r>
        <w:fldChar w:fldCharType="separate"/>
      </w:r>
      <w:r>
        <w:t>20</w:t>
      </w:r>
      <w:r>
        <w:fldChar w:fldCharType="end"/>
      </w:r>
      <w:r>
        <w:rPr>
          <w:rFonts w:hint="eastAsia" w:cs="宋体"/>
        </w:rPr>
        <w:fldChar w:fldCharType="end"/>
      </w:r>
    </w:p>
    <w:p w14:paraId="3C4D8198">
      <w:pPr>
        <w:pStyle w:val="18"/>
        <w:tabs>
          <w:tab w:val="right" w:leader="dot" w:pos="8975"/>
        </w:tabs>
      </w:pPr>
      <w:r>
        <w:rPr>
          <w:rFonts w:hint="eastAsia" w:cs="宋体"/>
        </w:rPr>
        <w:fldChar w:fldCharType="begin"/>
      </w:r>
      <w:r>
        <w:rPr>
          <w:rFonts w:hint="eastAsia" w:cs="宋体"/>
        </w:rPr>
        <w:instrText xml:space="preserve"> HYPERLINK \l _Toc13929 </w:instrText>
      </w:r>
      <w:r>
        <w:rPr>
          <w:rFonts w:hint="eastAsia" w:cs="宋体"/>
        </w:rPr>
        <w:fldChar w:fldCharType="separate"/>
      </w:r>
      <w:r>
        <w:rPr>
          <w:rFonts w:hint="eastAsia"/>
          <w:bCs/>
          <w:szCs w:val="24"/>
        </w:rPr>
        <w:t>3.9专项管理</w:t>
      </w:r>
      <w:r>
        <w:tab/>
      </w:r>
      <w:r>
        <w:fldChar w:fldCharType="begin"/>
      </w:r>
      <w:r>
        <w:instrText xml:space="preserve"> PAGEREF _Toc13929 \h </w:instrText>
      </w:r>
      <w:r>
        <w:fldChar w:fldCharType="separate"/>
      </w:r>
      <w:r>
        <w:t>21</w:t>
      </w:r>
      <w:r>
        <w:fldChar w:fldCharType="end"/>
      </w:r>
      <w:r>
        <w:rPr>
          <w:rFonts w:hint="eastAsia" w:cs="宋体"/>
        </w:rPr>
        <w:fldChar w:fldCharType="end"/>
      </w:r>
    </w:p>
    <w:p w14:paraId="5E7D4EEA">
      <w:pPr>
        <w:pStyle w:val="13"/>
        <w:tabs>
          <w:tab w:val="right" w:leader="dot" w:pos="8975"/>
        </w:tabs>
      </w:pPr>
      <w:r>
        <w:rPr>
          <w:rFonts w:hint="eastAsia" w:cs="宋体"/>
        </w:rPr>
        <w:fldChar w:fldCharType="begin"/>
      </w:r>
      <w:r>
        <w:rPr>
          <w:rFonts w:hint="eastAsia" w:cs="宋体"/>
        </w:rPr>
        <w:instrText xml:space="preserve"> HYPERLINK \l _Toc15896 </w:instrText>
      </w:r>
      <w:r>
        <w:rPr>
          <w:rFonts w:hint="eastAsia" w:cs="宋体"/>
        </w:rPr>
        <w:fldChar w:fldCharType="separate"/>
      </w:r>
      <w:r>
        <w:rPr>
          <w:rFonts w:hint="eastAsia" w:cs="宋体"/>
          <w:kern w:val="2"/>
          <w:szCs w:val="24"/>
        </w:rPr>
        <w:t>4.设备处置</w:t>
      </w:r>
      <w:r>
        <w:tab/>
      </w:r>
      <w:r>
        <w:fldChar w:fldCharType="begin"/>
      </w:r>
      <w:r>
        <w:instrText xml:space="preserve"> PAGEREF _Toc15896 \h </w:instrText>
      </w:r>
      <w:r>
        <w:fldChar w:fldCharType="separate"/>
      </w:r>
      <w:r>
        <w:t>21</w:t>
      </w:r>
      <w:r>
        <w:fldChar w:fldCharType="end"/>
      </w:r>
      <w:r>
        <w:rPr>
          <w:rFonts w:hint="eastAsia" w:cs="宋体"/>
        </w:rPr>
        <w:fldChar w:fldCharType="end"/>
      </w:r>
    </w:p>
    <w:p w14:paraId="7596DF48">
      <w:pPr>
        <w:pStyle w:val="18"/>
        <w:tabs>
          <w:tab w:val="right" w:leader="dot" w:pos="8975"/>
        </w:tabs>
      </w:pPr>
      <w:r>
        <w:rPr>
          <w:rFonts w:hint="eastAsia" w:cs="宋体"/>
        </w:rPr>
        <w:fldChar w:fldCharType="begin"/>
      </w:r>
      <w:r>
        <w:rPr>
          <w:rFonts w:hint="eastAsia" w:cs="宋体"/>
        </w:rPr>
        <w:instrText xml:space="preserve"> HYPERLINK \l _Toc6168 </w:instrText>
      </w:r>
      <w:r>
        <w:rPr>
          <w:rFonts w:hint="eastAsia" w:cs="宋体"/>
        </w:rPr>
        <w:fldChar w:fldCharType="separate"/>
      </w:r>
      <w:r>
        <w:rPr>
          <w:bCs/>
          <w:szCs w:val="24"/>
        </w:rPr>
        <w:t>4.1设备状态变更</w:t>
      </w:r>
      <w:r>
        <w:tab/>
      </w:r>
      <w:r>
        <w:fldChar w:fldCharType="begin"/>
      </w:r>
      <w:r>
        <w:instrText xml:space="preserve"> PAGEREF _Toc6168 \h </w:instrText>
      </w:r>
      <w:r>
        <w:fldChar w:fldCharType="separate"/>
      </w:r>
      <w:r>
        <w:t>21</w:t>
      </w:r>
      <w:r>
        <w:fldChar w:fldCharType="end"/>
      </w:r>
      <w:r>
        <w:rPr>
          <w:rFonts w:hint="eastAsia" w:cs="宋体"/>
        </w:rPr>
        <w:fldChar w:fldCharType="end"/>
      </w:r>
    </w:p>
    <w:p w14:paraId="5DF8635C">
      <w:pPr>
        <w:pStyle w:val="18"/>
        <w:tabs>
          <w:tab w:val="right" w:leader="dot" w:pos="8975"/>
        </w:tabs>
      </w:pPr>
      <w:r>
        <w:rPr>
          <w:rFonts w:hint="eastAsia" w:cs="宋体"/>
        </w:rPr>
        <w:fldChar w:fldCharType="begin"/>
      </w:r>
      <w:r>
        <w:rPr>
          <w:rFonts w:hint="eastAsia" w:cs="宋体"/>
        </w:rPr>
        <w:instrText xml:space="preserve"> HYPERLINK \l _Toc989 </w:instrText>
      </w:r>
      <w:r>
        <w:rPr>
          <w:rFonts w:hint="eastAsia" w:cs="宋体"/>
        </w:rPr>
        <w:fldChar w:fldCharType="separate"/>
      </w:r>
      <w:r>
        <w:rPr>
          <w:bCs/>
          <w:szCs w:val="24"/>
        </w:rPr>
        <w:t>4.</w:t>
      </w:r>
      <w:r>
        <w:rPr>
          <w:rFonts w:hint="eastAsia"/>
          <w:bCs/>
          <w:szCs w:val="24"/>
        </w:rPr>
        <w:t>2</w:t>
      </w:r>
      <w:r>
        <w:rPr>
          <w:bCs/>
          <w:szCs w:val="24"/>
        </w:rPr>
        <w:t>设备更新</w:t>
      </w:r>
      <w:r>
        <w:tab/>
      </w:r>
      <w:r>
        <w:fldChar w:fldCharType="begin"/>
      </w:r>
      <w:r>
        <w:instrText xml:space="preserve"> PAGEREF _Toc989 \h </w:instrText>
      </w:r>
      <w:r>
        <w:fldChar w:fldCharType="separate"/>
      </w:r>
      <w:r>
        <w:t>22</w:t>
      </w:r>
      <w:r>
        <w:fldChar w:fldCharType="end"/>
      </w:r>
      <w:r>
        <w:rPr>
          <w:rFonts w:hint="eastAsia" w:cs="宋体"/>
        </w:rPr>
        <w:fldChar w:fldCharType="end"/>
      </w:r>
    </w:p>
    <w:p w14:paraId="70D0621E">
      <w:pPr>
        <w:pStyle w:val="13"/>
        <w:tabs>
          <w:tab w:val="right" w:leader="dot" w:pos="8975"/>
        </w:tabs>
      </w:pPr>
      <w:r>
        <w:rPr>
          <w:rFonts w:hint="eastAsia" w:cs="宋体"/>
        </w:rPr>
        <w:fldChar w:fldCharType="begin"/>
      </w:r>
      <w:r>
        <w:rPr>
          <w:rFonts w:hint="eastAsia" w:cs="宋体"/>
        </w:rPr>
        <w:instrText xml:space="preserve"> HYPERLINK \l _Toc11375 </w:instrText>
      </w:r>
      <w:r>
        <w:rPr>
          <w:rFonts w:hint="eastAsia" w:cs="宋体"/>
        </w:rPr>
        <w:fldChar w:fldCharType="separate"/>
      </w:r>
      <w:r>
        <w:rPr>
          <w:rFonts w:hint="eastAsia" w:cs="宋体"/>
          <w:kern w:val="2"/>
          <w:szCs w:val="24"/>
        </w:rPr>
        <w:t>5.报表管理</w:t>
      </w:r>
      <w:r>
        <w:tab/>
      </w:r>
      <w:r>
        <w:fldChar w:fldCharType="begin"/>
      </w:r>
      <w:r>
        <w:instrText xml:space="preserve"> PAGEREF _Toc11375 \h </w:instrText>
      </w:r>
      <w:r>
        <w:fldChar w:fldCharType="separate"/>
      </w:r>
      <w:r>
        <w:t>22</w:t>
      </w:r>
      <w:r>
        <w:fldChar w:fldCharType="end"/>
      </w:r>
      <w:r>
        <w:rPr>
          <w:rFonts w:hint="eastAsia" w:cs="宋体"/>
        </w:rPr>
        <w:fldChar w:fldCharType="end"/>
      </w:r>
    </w:p>
    <w:p w14:paraId="096531C3">
      <w:pPr>
        <w:pStyle w:val="18"/>
        <w:tabs>
          <w:tab w:val="right" w:leader="dot" w:pos="8975"/>
        </w:tabs>
      </w:pPr>
      <w:r>
        <w:rPr>
          <w:rFonts w:hint="eastAsia" w:cs="宋体"/>
        </w:rPr>
        <w:fldChar w:fldCharType="begin"/>
      </w:r>
      <w:r>
        <w:rPr>
          <w:rFonts w:hint="eastAsia" w:cs="宋体"/>
        </w:rPr>
        <w:instrText xml:space="preserve"> HYPERLINK \l _Toc9091 </w:instrText>
      </w:r>
      <w:r>
        <w:rPr>
          <w:rFonts w:hint="eastAsia" w:cs="宋体"/>
        </w:rPr>
        <w:fldChar w:fldCharType="separate"/>
      </w:r>
      <w:r>
        <w:rPr>
          <w:rFonts w:hint="eastAsia"/>
          <w:bCs/>
          <w:szCs w:val="24"/>
        </w:rPr>
        <w:t>5.1报表</w:t>
      </w:r>
      <w:r>
        <w:rPr>
          <w:rFonts w:hint="eastAsia" w:cs="宋体"/>
          <w:bCs/>
          <w:szCs w:val="24"/>
        </w:rPr>
        <w:t>管理</w:t>
      </w:r>
      <w:r>
        <w:rPr>
          <w:rFonts w:hint="eastAsia"/>
          <w:bCs/>
          <w:szCs w:val="24"/>
        </w:rPr>
        <w:t>工具</w:t>
      </w:r>
      <w:r>
        <w:tab/>
      </w:r>
      <w:r>
        <w:fldChar w:fldCharType="begin"/>
      </w:r>
      <w:r>
        <w:instrText xml:space="preserve"> PAGEREF _Toc9091 \h </w:instrText>
      </w:r>
      <w:r>
        <w:fldChar w:fldCharType="separate"/>
      </w:r>
      <w:r>
        <w:t>22</w:t>
      </w:r>
      <w:r>
        <w:fldChar w:fldCharType="end"/>
      </w:r>
      <w:r>
        <w:rPr>
          <w:rFonts w:hint="eastAsia" w:cs="宋体"/>
        </w:rPr>
        <w:fldChar w:fldCharType="end"/>
      </w:r>
    </w:p>
    <w:p w14:paraId="314F6046">
      <w:pPr>
        <w:pStyle w:val="18"/>
        <w:tabs>
          <w:tab w:val="right" w:leader="dot" w:pos="8975"/>
        </w:tabs>
      </w:pPr>
      <w:r>
        <w:rPr>
          <w:rFonts w:hint="eastAsia" w:cs="宋体"/>
        </w:rPr>
        <w:fldChar w:fldCharType="begin"/>
      </w:r>
      <w:r>
        <w:rPr>
          <w:rFonts w:hint="eastAsia" w:cs="宋体"/>
        </w:rPr>
        <w:instrText xml:space="preserve"> HYPERLINK \l _Toc3742 </w:instrText>
      </w:r>
      <w:r>
        <w:rPr>
          <w:rFonts w:hint="eastAsia" w:cs="宋体"/>
        </w:rPr>
        <w:fldChar w:fldCharType="separate"/>
      </w:r>
      <w:r>
        <w:rPr>
          <w:rFonts w:hint="eastAsia"/>
          <w:bCs/>
          <w:szCs w:val="24"/>
        </w:rPr>
        <w:t>5.2设备统计类报表</w:t>
      </w:r>
      <w:r>
        <w:tab/>
      </w:r>
      <w:r>
        <w:fldChar w:fldCharType="begin"/>
      </w:r>
      <w:r>
        <w:instrText xml:space="preserve"> PAGEREF _Toc3742 \h </w:instrText>
      </w:r>
      <w:r>
        <w:fldChar w:fldCharType="separate"/>
      </w:r>
      <w:r>
        <w:t>24</w:t>
      </w:r>
      <w:r>
        <w:fldChar w:fldCharType="end"/>
      </w:r>
      <w:r>
        <w:rPr>
          <w:rFonts w:hint="eastAsia" w:cs="宋体"/>
        </w:rPr>
        <w:fldChar w:fldCharType="end"/>
      </w:r>
    </w:p>
    <w:p w14:paraId="6219E6C3">
      <w:pPr>
        <w:pStyle w:val="18"/>
        <w:tabs>
          <w:tab w:val="right" w:leader="dot" w:pos="8975"/>
        </w:tabs>
      </w:pPr>
      <w:r>
        <w:rPr>
          <w:rFonts w:hint="eastAsia" w:cs="宋体"/>
        </w:rPr>
        <w:fldChar w:fldCharType="begin"/>
      </w:r>
      <w:r>
        <w:rPr>
          <w:rFonts w:hint="eastAsia" w:cs="宋体"/>
        </w:rPr>
        <w:instrText xml:space="preserve"> HYPERLINK \l _Toc13372 </w:instrText>
      </w:r>
      <w:r>
        <w:rPr>
          <w:rFonts w:hint="eastAsia" w:cs="宋体"/>
        </w:rPr>
        <w:fldChar w:fldCharType="separate"/>
      </w:r>
      <w:r>
        <w:rPr>
          <w:rFonts w:hint="eastAsia"/>
          <w:bCs/>
          <w:szCs w:val="24"/>
        </w:rPr>
        <w:t>5.3运行指标报表</w:t>
      </w:r>
      <w:r>
        <w:tab/>
      </w:r>
      <w:r>
        <w:fldChar w:fldCharType="begin"/>
      </w:r>
      <w:r>
        <w:instrText xml:space="preserve"> PAGEREF _Toc13372 \h </w:instrText>
      </w:r>
      <w:r>
        <w:fldChar w:fldCharType="separate"/>
      </w:r>
      <w:r>
        <w:t>24</w:t>
      </w:r>
      <w:r>
        <w:fldChar w:fldCharType="end"/>
      </w:r>
      <w:r>
        <w:rPr>
          <w:rFonts w:hint="eastAsia" w:cs="宋体"/>
        </w:rPr>
        <w:fldChar w:fldCharType="end"/>
      </w:r>
    </w:p>
    <w:p w14:paraId="25710DEC">
      <w:pPr>
        <w:pStyle w:val="13"/>
        <w:tabs>
          <w:tab w:val="right" w:leader="dot" w:pos="8975"/>
        </w:tabs>
      </w:pPr>
      <w:r>
        <w:rPr>
          <w:rFonts w:hint="eastAsia" w:cs="宋体"/>
        </w:rPr>
        <w:fldChar w:fldCharType="begin"/>
      </w:r>
      <w:r>
        <w:rPr>
          <w:rFonts w:hint="eastAsia" w:cs="宋体"/>
        </w:rPr>
        <w:instrText xml:space="preserve"> HYPERLINK \l _Toc18114 </w:instrText>
      </w:r>
      <w:r>
        <w:rPr>
          <w:rFonts w:hint="eastAsia" w:cs="宋体"/>
        </w:rPr>
        <w:fldChar w:fldCharType="separate"/>
      </w:r>
      <w:r>
        <w:rPr>
          <w:rFonts w:hint="eastAsia" w:cs="宋体"/>
          <w:kern w:val="2"/>
          <w:szCs w:val="24"/>
        </w:rPr>
        <w:t>6.移动应用</w:t>
      </w:r>
      <w:r>
        <w:tab/>
      </w:r>
      <w:r>
        <w:fldChar w:fldCharType="begin"/>
      </w:r>
      <w:r>
        <w:instrText xml:space="preserve"> PAGEREF _Toc18114 \h </w:instrText>
      </w:r>
      <w:r>
        <w:fldChar w:fldCharType="separate"/>
      </w:r>
      <w:r>
        <w:t>24</w:t>
      </w:r>
      <w:r>
        <w:fldChar w:fldCharType="end"/>
      </w:r>
      <w:r>
        <w:rPr>
          <w:rFonts w:hint="eastAsia" w:cs="宋体"/>
        </w:rPr>
        <w:fldChar w:fldCharType="end"/>
      </w:r>
    </w:p>
    <w:p w14:paraId="047D9CBD">
      <w:pPr>
        <w:pStyle w:val="18"/>
        <w:tabs>
          <w:tab w:val="right" w:leader="dot" w:pos="8975"/>
        </w:tabs>
      </w:pPr>
      <w:r>
        <w:rPr>
          <w:rFonts w:hint="eastAsia" w:cs="宋体"/>
        </w:rPr>
        <w:fldChar w:fldCharType="begin"/>
      </w:r>
      <w:r>
        <w:rPr>
          <w:rFonts w:hint="eastAsia" w:cs="宋体"/>
        </w:rPr>
        <w:instrText xml:space="preserve"> HYPERLINK \l _Toc7298 </w:instrText>
      </w:r>
      <w:r>
        <w:rPr>
          <w:rFonts w:hint="eastAsia" w:cs="宋体"/>
        </w:rPr>
        <w:fldChar w:fldCharType="separate"/>
      </w:r>
      <w:r>
        <w:rPr>
          <w:rFonts w:hint="eastAsia" w:cs="宋体"/>
          <w:kern w:val="2"/>
          <w:szCs w:val="24"/>
        </w:rPr>
        <w:t>6.1工单管理</w:t>
      </w:r>
      <w:r>
        <w:tab/>
      </w:r>
      <w:r>
        <w:fldChar w:fldCharType="begin"/>
      </w:r>
      <w:r>
        <w:instrText xml:space="preserve"> PAGEREF _Toc7298 \h </w:instrText>
      </w:r>
      <w:r>
        <w:fldChar w:fldCharType="separate"/>
      </w:r>
      <w:r>
        <w:t>24</w:t>
      </w:r>
      <w:r>
        <w:fldChar w:fldCharType="end"/>
      </w:r>
      <w:r>
        <w:rPr>
          <w:rFonts w:hint="eastAsia" w:cs="宋体"/>
        </w:rPr>
        <w:fldChar w:fldCharType="end"/>
      </w:r>
    </w:p>
    <w:p w14:paraId="31C73540">
      <w:pPr>
        <w:pStyle w:val="18"/>
        <w:tabs>
          <w:tab w:val="right" w:leader="dot" w:pos="8975"/>
        </w:tabs>
      </w:pPr>
      <w:r>
        <w:rPr>
          <w:rFonts w:hint="eastAsia" w:cs="宋体"/>
        </w:rPr>
        <w:fldChar w:fldCharType="begin"/>
      </w:r>
      <w:r>
        <w:rPr>
          <w:rFonts w:hint="eastAsia" w:cs="宋体"/>
        </w:rPr>
        <w:instrText xml:space="preserve"> HYPERLINK \l _Toc27896 </w:instrText>
      </w:r>
      <w:r>
        <w:rPr>
          <w:rFonts w:hint="eastAsia" w:cs="宋体"/>
        </w:rPr>
        <w:fldChar w:fldCharType="separate"/>
      </w:r>
      <w:r>
        <w:rPr>
          <w:rFonts w:hint="eastAsia" w:cs="宋体"/>
          <w:kern w:val="2"/>
          <w:szCs w:val="24"/>
        </w:rPr>
        <w:t>6.2点巡检管理</w:t>
      </w:r>
      <w:r>
        <w:tab/>
      </w:r>
      <w:r>
        <w:fldChar w:fldCharType="begin"/>
      </w:r>
      <w:r>
        <w:instrText xml:space="preserve"> PAGEREF _Toc27896 \h </w:instrText>
      </w:r>
      <w:r>
        <w:fldChar w:fldCharType="separate"/>
      </w:r>
      <w:r>
        <w:t>25</w:t>
      </w:r>
      <w:r>
        <w:fldChar w:fldCharType="end"/>
      </w:r>
      <w:r>
        <w:rPr>
          <w:rFonts w:hint="eastAsia" w:cs="宋体"/>
        </w:rPr>
        <w:fldChar w:fldCharType="end"/>
      </w:r>
    </w:p>
    <w:p w14:paraId="20CF00AE">
      <w:pPr>
        <w:pStyle w:val="18"/>
        <w:tabs>
          <w:tab w:val="right" w:leader="dot" w:pos="8975"/>
        </w:tabs>
      </w:pPr>
      <w:r>
        <w:rPr>
          <w:rFonts w:hint="eastAsia" w:cs="宋体"/>
        </w:rPr>
        <w:fldChar w:fldCharType="begin"/>
      </w:r>
      <w:r>
        <w:rPr>
          <w:rFonts w:hint="eastAsia" w:cs="宋体"/>
        </w:rPr>
        <w:instrText xml:space="preserve"> HYPERLINK \l _Toc22879 </w:instrText>
      </w:r>
      <w:r>
        <w:rPr>
          <w:rFonts w:hint="eastAsia" w:cs="宋体"/>
        </w:rPr>
        <w:fldChar w:fldCharType="separate"/>
      </w:r>
      <w:r>
        <w:rPr>
          <w:rFonts w:hint="eastAsia" w:cs="宋体"/>
          <w:kern w:val="2"/>
          <w:szCs w:val="24"/>
        </w:rPr>
        <w:t>6.4报表查看</w:t>
      </w:r>
      <w:r>
        <w:tab/>
      </w:r>
      <w:r>
        <w:fldChar w:fldCharType="begin"/>
      </w:r>
      <w:r>
        <w:instrText xml:space="preserve"> PAGEREF _Toc22879 \h </w:instrText>
      </w:r>
      <w:r>
        <w:fldChar w:fldCharType="separate"/>
      </w:r>
      <w:r>
        <w:t>25</w:t>
      </w:r>
      <w:r>
        <w:fldChar w:fldCharType="end"/>
      </w:r>
      <w:r>
        <w:rPr>
          <w:rFonts w:hint="eastAsia" w:cs="宋体"/>
        </w:rPr>
        <w:fldChar w:fldCharType="end"/>
      </w:r>
    </w:p>
    <w:p w14:paraId="334B0834">
      <w:pPr>
        <w:pStyle w:val="18"/>
        <w:tabs>
          <w:tab w:val="right" w:leader="dot" w:pos="8975"/>
        </w:tabs>
      </w:pPr>
      <w:r>
        <w:rPr>
          <w:rFonts w:hint="eastAsia" w:cs="宋体"/>
        </w:rPr>
        <w:fldChar w:fldCharType="begin"/>
      </w:r>
      <w:r>
        <w:rPr>
          <w:rFonts w:hint="eastAsia" w:cs="宋体"/>
        </w:rPr>
        <w:instrText xml:space="preserve"> HYPERLINK \l _Toc16899 </w:instrText>
      </w:r>
      <w:r>
        <w:rPr>
          <w:rFonts w:hint="eastAsia" w:cs="宋体"/>
        </w:rPr>
        <w:fldChar w:fldCharType="separate"/>
      </w:r>
      <w:r>
        <w:rPr>
          <w:rFonts w:hint="eastAsia" w:cs="宋体"/>
          <w:kern w:val="2"/>
          <w:szCs w:val="24"/>
        </w:rPr>
        <w:t>6.5审批管理</w:t>
      </w:r>
      <w:r>
        <w:tab/>
      </w:r>
      <w:r>
        <w:fldChar w:fldCharType="begin"/>
      </w:r>
      <w:r>
        <w:instrText xml:space="preserve"> PAGEREF _Toc16899 \h </w:instrText>
      </w:r>
      <w:r>
        <w:fldChar w:fldCharType="separate"/>
      </w:r>
      <w:r>
        <w:t>25</w:t>
      </w:r>
      <w:r>
        <w:fldChar w:fldCharType="end"/>
      </w:r>
      <w:r>
        <w:rPr>
          <w:rFonts w:hint="eastAsia" w:cs="宋体"/>
        </w:rPr>
        <w:fldChar w:fldCharType="end"/>
      </w:r>
    </w:p>
    <w:p w14:paraId="65EEEB95">
      <w:pPr>
        <w:pStyle w:val="18"/>
        <w:tabs>
          <w:tab w:val="right" w:leader="dot" w:pos="8975"/>
        </w:tabs>
      </w:pPr>
      <w:r>
        <w:rPr>
          <w:rFonts w:hint="eastAsia" w:cs="宋体"/>
        </w:rPr>
        <w:fldChar w:fldCharType="begin"/>
      </w:r>
      <w:r>
        <w:rPr>
          <w:rFonts w:hint="eastAsia" w:cs="宋体"/>
        </w:rPr>
        <w:instrText xml:space="preserve"> HYPERLINK \l _Toc26878 </w:instrText>
      </w:r>
      <w:r>
        <w:rPr>
          <w:rFonts w:hint="eastAsia" w:cs="宋体"/>
        </w:rPr>
        <w:fldChar w:fldCharType="separate"/>
      </w:r>
      <w:r>
        <w:rPr>
          <w:rFonts w:hint="eastAsia" w:cs="宋体"/>
          <w:kern w:val="2"/>
          <w:szCs w:val="24"/>
        </w:rPr>
        <w:t>6.6个人中心</w:t>
      </w:r>
      <w:r>
        <w:tab/>
      </w:r>
      <w:r>
        <w:fldChar w:fldCharType="begin"/>
      </w:r>
      <w:r>
        <w:instrText xml:space="preserve"> PAGEREF _Toc26878 \h </w:instrText>
      </w:r>
      <w:r>
        <w:fldChar w:fldCharType="separate"/>
      </w:r>
      <w:r>
        <w:t>25</w:t>
      </w:r>
      <w:r>
        <w:fldChar w:fldCharType="end"/>
      </w:r>
      <w:r>
        <w:rPr>
          <w:rFonts w:hint="eastAsia" w:cs="宋体"/>
        </w:rPr>
        <w:fldChar w:fldCharType="end"/>
      </w:r>
    </w:p>
    <w:p w14:paraId="4CA58A74">
      <w:pPr>
        <w:pStyle w:val="18"/>
        <w:tabs>
          <w:tab w:val="right" w:leader="dot" w:pos="8975"/>
        </w:tabs>
      </w:pPr>
      <w:r>
        <w:rPr>
          <w:rFonts w:hint="eastAsia" w:cs="宋体"/>
        </w:rPr>
        <w:fldChar w:fldCharType="begin"/>
      </w:r>
      <w:r>
        <w:rPr>
          <w:rFonts w:hint="eastAsia" w:cs="宋体"/>
        </w:rPr>
        <w:instrText xml:space="preserve"> HYPERLINK \l _Toc20996 </w:instrText>
      </w:r>
      <w:r>
        <w:rPr>
          <w:rFonts w:hint="eastAsia" w:cs="宋体"/>
        </w:rPr>
        <w:fldChar w:fldCharType="separate"/>
      </w:r>
      <w:r>
        <w:rPr>
          <w:rFonts w:hint="eastAsia" w:cs="宋体"/>
          <w:kern w:val="2"/>
          <w:szCs w:val="24"/>
        </w:rPr>
        <w:t>6.7预警通知</w:t>
      </w:r>
      <w:r>
        <w:tab/>
      </w:r>
      <w:r>
        <w:fldChar w:fldCharType="begin"/>
      </w:r>
      <w:r>
        <w:instrText xml:space="preserve"> PAGEREF _Toc20996 \h </w:instrText>
      </w:r>
      <w:r>
        <w:fldChar w:fldCharType="separate"/>
      </w:r>
      <w:r>
        <w:t>25</w:t>
      </w:r>
      <w:r>
        <w:fldChar w:fldCharType="end"/>
      </w:r>
      <w:r>
        <w:rPr>
          <w:rFonts w:hint="eastAsia" w:cs="宋体"/>
        </w:rPr>
        <w:fldChar w:fldCharType="end"/>
      </w:r>
    </w:p>
    <w:p w14:paraId="64CA9A4E">
      <w:pPr>
        <w:pStyle w:val="13"/>
        <w:tabs>
          <w:tab w:val="right" w:leader="dot" w:pos="8975"/>
        </w:tabs>
      </w:pPr>
      <w:r>
        <w:rPr>
          <w:rFonts w:hint="eastAsia" w:cs="宋体"/>
        </w:rPr>
        <w:fldChar w:fldCharType="begin"/>
      </w:r>
      <w:r>
        <w:rPr>
          <w:rFonts w:hint="eastAsia" w:cs="宋体"/>
        </w:rPr>
        <w:instrText xml:space="preserve"> HYPERLINK \l _Toc15104 </w:instrText>
      </w:r>
      <w:r>
        <w:rPr>
          <w:rFonts w:hint="eastAsia" w:cs="宋体"/>
        </w:rPr>
        <w:fldChar w:fldCharType="separate"/>
      </w:r>
      <w:r>
        <w:rPr>
          <w:rFonts w:hint="eastAsia" w:cs="宋体"/>
          <w:kern w:val="2"/>
          <w:szCs w:val="24"/>
        </w:rPr>
        <w:t>7.系统管理</w:t>
      </w:r>
      <w:r>
        <w:tab/>
      </w:r>
      <w:r>
        <w:fldChar w:fldCharType="begin"/>
      </w:r>
      <w:r>
        <w:instrText xml:space="preserve"> PAGEREF _Toc15104 \h </w:instrText>
      </w:r>
      <w:r>
        <w:fldChar w:fldCharType="separate"/>
      </w:r>
      <w:r>
        <w:t>25</w:t>
      </w:r>
      <w:r>
        <w:fldChar w:fldCharType="end"/>
      </w:r>
      <w:r>
        <w:rPr>
          <w:rFonts w:hint="eastAsia" w:cs="宋体"/>
        </w:rPr>
        <w:fldChar w:fldCharType="end"/>
      </w:r>
    </w:p>
    <w:p w14:paraId="384DC196">
      <w:pPr>
        <w:pStyle w:val="18"/>
        <w:tabs>
          <w:tab w:val="right" w:leader="dot" w:pos="8975"/>
        </w:tabs>
      </w:pPr>
      <w:r>
        <w:rPr>
          <w:rFonts w:hint="eastAsia" w:cs="宋体"/>
        </w:rPr>
        <w:fldChar w:fldCharType="begin"/>
      </w:r>
      <w:r>
        <w:rPr>
          <w:rFonts w:hint="eastAsia" w:cs="宋体"/>
        </w:rPr>
        <w:instrText xml:space="preserve"> HYPERLINK \l _Toc6679 </w:instrText>
      </w:r>
      <w:r>
        <w:rPr>
          <w:rFonts w:hint="eastAsia" w:cs="宋体"/>
        </w:rPr>
        <w:fldChar w:fldCharType="separate"/>
      </w:r>
      <w:r>
        <w:rPr>
          <w:rFonts w:hint="eastAsia" w:cs="宋体"/>
          <w:kern w:val="2"/>
          <w:szCs w:val="24"/>
        </w:rPr>
        <w:t>7.1菜单管理</w:t>
      </w:r>
      <w:r>
        <w:tab/>
      </w:r>
      <w:r>
        <w:fldChar w:fldCharType="begin"/>
      </w:r>
      <w:r>
        <w:instrText xml:space="preserve"> PAGEREF _Toc6679 \h </w:instrText>
      </w:r>
      <w:r>
        <w:fldChar w:fldCharType="separate"/>
      </w:r>
      <w:r>
        <w:t>26</w:t>
      </w:r>
      <w:r>
        <w:fldChar w:fldCharType="end"/>
      </w:r>
      <w:r>
        <w:rPr>
          <w:rFonts w:hint="eastAsia" w:cs="宋体"/>
        </w:rPr>
        <w:fldChar w:fldCharType="end"/>
      </w:r>
    </w:p>
    <w:p w14:paraId="1CDBB1E5">
      <w:pPr>
        <w:pStyle w:val="18"/>
        <w:tabs>
          <w:tab w:val="right" w:leader="dot" w:pos="8975"/>
        </w:tabs>
      </w:pPr>
      <w:r>
        <w:rPr>
          <w:rFonts w:hint="eastAsia" w:cs="宋体"/>
        </w:rPr>
        <w:fldChar w:fldCharType="begin"/>
      </w:r>
      <w:r>
        <w:rPr>
          <w:rFonts w:hint="eastAsia" w:cs="宋体"/>
        </w:rPr>
        <w:instrText xml:space="preserve"> HYPERLINK \l _Toc23580 </w:instrText>
      </w:r>
      <w:r>
        <w:rPr>
          <w:rFonts w:hint="eastAsia" w:cs="宋体"/>
        </w:rPr>
        <w:fldChar w:fldCharType="separate"/>
      </w:r>
      <w:r>
        <w:rPr>
          <w:rFonts w:hint="eastAsia" w:cs="宋体"/>
          <w:kern w:val="2"/>
          <w:szCs w:val="24"/>
        </w:rPr>
        <w:t>7.2组织机构</w:t>
      </w:r>
      <w:r>
        <w:tab/>
      </w:r>
      <w:r>
        <w:fldChar w:fldCharType="begin"/>
      </w:r>
      <w:r>
        <w:instrText xml:space="preserve"> PAGEREF _Toc23580 \h </w:instrText>
      </w:r>
      <w:r>
        <w:fldChar w:fldCharType="separate"/>
      </w:r>
      <w:r>
        <w:t>26</w:t>
      </w:r>
      <w:r>
        <w:fldChar w:fldCharType="end"/>
      </w:r>
      <w:r>
        <w:rPr>
          <w:rFonts w:hint="eastAsia" w:cs="宋体"/>
        </w:rPr>
        <w:fldChar w:fldCharType="end"/>
      </w:r>
    </w:p>
    <w:p w14:paraId="4A46F597">
      <w:pPr>
        <w:pStyle w:val="18"/>
        <w:tabs>
          <w:tab w:val="right" w:leader="dot" w:pos="8975"/>
        </w:tabs>
      </w:pPr>
      <w:r>
        <w:rPr>
          <w:rFonts w:hint="eastAsia" w:cs="宋体"/>
        </w:rPr>
        <w:fldChar w:fldCharType="begin"/>
      </w:r>
      <w:r>
        <w:rPr>
          <w:rFonts w:hint="eastAsia" w:cs="宋体"/>
        </w:rPr>
        <w:instrText xml:space="preserve"> HYPERLINK \l _Toc12255 </w:instrText>
      </w:r>
      <w:r>
        <w:rPr>
          <w:rFonts w:hint="eastAsia" w:cs="宋体"/>
        </w:rPr>
        <w:fldChar w:fldCharType="separate"/>
      </w:r>
      <w:r>
        <w:rPr>
          <w:rFonts w:hint="eastAsia" w:cs="宋体"/>
          <w:kern w:val="2"/>
          <w:szCs w:val="24"/>
        </w:rPr>
        <w:t>7.3用户管理</w:t>
      </w:r>
      <w:r>
        <w:tab/>
      </w:r>
      <w:r>
        <w:fldChar w:fldCharType="begin"/>
      </w:r>
      <w:r>
        <w:instrText xml:space="preserve"> PAGEREF _Toc12255 \h </w:instrText>
      </w:r>
      <w:r>
        <w:fldChar w:fldCharType="separate"/>
      </w:r>
      <w:r>
        <w:t>26</w:t>
      </w:r>
      <w:r>
        <w:fldChar w:fldCharType="end"/>
      </w:r>
      <w:r>
        <w:rPr>
          <w:rFonts w:hint="eastAsia" w:cs="宋体"/>
        </w:rPr>
        <w:fldChar w:fldCharType="end"/>
      </w:r>
    </w:p>
    <w:p w14:paraId="75D72925">
      <w:pPr>
        <w:pStyle w:val="18"/>
        <w:tabs>
          <w:tab w:val="right" w:leader="dot" w:pos="8975"/>
        </w:tabs>
      </w:pPr>
      <w:r>
        <w:rPr>
          <w:rFonts w:hint="eastAsia" w:cs="宋体"/>
        </w:rPr>
        <w:fldChar w:fldCharType="begin"/>
      </w:r>
      <w:r>
        <w:rPr>
          <w:rFonts w:hint="eastAsia" w:cs="宋体"/>
        </w:rPr>
        <w:instrText xml:space="preserve"> HYPERLINK \l _Toc18 </w:instrText>
      </w:r>
      <w:r>
        <w:rPr>
          <w:rFonts w:hint="eastAsia" w:cs="宋体"/>
        </w:rPr>
        <w:fldChar w:fldCharType="separate"/>
      </w:r>
      <w:r>
        <w:rPr>
          <w:rFonts w:hint="eastAsia" w:cs="宋体"/>
          <w:kern w:val="2"/>
          <w:szCs w:val="24"/>
        </w:rPr>
        <w:t>7.4配置管理</w:t>
      </w:r>
      <w:r>
        <w:tab/>
      </w:r>
      <w:r>
        <w:fldChar w:fldCharType="begin"/>
      </w:r>
      <w:r>
        <w:instrText xml:space="preserve"> PAGEREF _Toc18 \h </w:instrText>
      </w:r>
      <w:r>
        <w:fldChar w:fldCharType="separate"/>
      </w:r>
      <w:r>
        <w:t>26</w:t>
      </w:r>
      <w:r>
        <w:fldChar w:fldCharType="end"/>
      </w:r>
      <w:r>
        <w:rPr>
          <w:rFonts w:hint="eastAsia" w:cs="宋体"/>
        </w:rPr>
        <w:fldChar w:fldCharType="end"/>
      </w:r>
    </w:p>
    <w:p w14:paraId="5B3525FC">
      <w:pPr>
        <w:pStyle w:val="18"/>
        <w:tabs>
          <w:tab w:val="right" w:leader="dot" w:pos="8975"/>
        </w:tabs>
      </w:pPr>
      <w:r>
        <w:rPr>
          <w:rFonts w:hint="eastAsia" w:cs="宋体"/>
        </w:rPr>
        <w:fldChar w:fldCharType="begin"/>
      </w:r>
      <w:r>
        <w:rPr>
          <w:rFonts w:hint="eastAsia" w:cs="宋体"/>
        </w:rPr>
        <w:instrText xml:space="preserve"> HYPERLINK \l _Toc8757 </w:instrText>
      </w:r>
      <w:r>
        <w:rPr>
          <w:rFonts w:hint="eastAsia" w:cs="宋体"/>
        </w:rPr>
        <w:fldChar w:fldCharType="separate"/>
      </w:r>
      <w:r>
        <w:rPr>
          <w:rFonts w:hint="eastAsia" w:cs="宋体"/>
          <w:kern w:val="2"/>
          <w:szCs w:val="24"/>
        </w:rPr>
        <w:t>7.5工作流管理</w:t>
      </w:r>
      <w:r>
        <w:tab/>
      </w:r>
      <w:r>
        <w:fldChar w:fldCharType="begin"/>
      </w:r>
      <w:r>
        <w:instrText xml:space="preserve"> PAGEREF _Toc8757 \h </w:instrText>
      </w:r>
      <w:r>
        <w:fldChar w:fldCharType="separate"/>
      </w:r>
      <w:r>
        <w:t>26</w:t>
      </w:r>
      <w:r>
        <w:fldChar w:fldCharType="end"/>
      </w:r>
      <w:r>
        <w:rPr>
          <w:rFonts w:hint="eastAsia" w:cs="宋体"/>
        </w:rPr>
        <w:fldChar w:fldCharType="end"/>
      </w:r>
    </w:p>
    <w:p w14:paraId="379A2AFE">
      <w:pPr>
        <w:pStyle w:val="18"/>
        <w:tabs>
          <w:tab w:val="right" w:leader="dot" w:pos="8975"/>
        </w:tabs>
      </w:pPr>
      <w:r>
        <w:rPr>
          <w:rFonts w:hint="eastAsia" w:cs="宋体"/>
        </w:rPr>
        <w:fldChar w:fldCharType="begin"/>
      </w:r>
      <w:r>
        <w:rPr>
          <w:rFonts w:hint="eastAsia" w:cs="宋体"/>
        </w:rPr>
        <w:instrText xml:space="preserve"> HYPERLINK \l _Toc25604 </w:instrText>
      </w:r>
      <w:r>
        <w:rPr>
          <w:rFonts w:hint="eastAsia" w:cs="宋体"/>
        </w:rPr>
        <w:fldChar w:fldCharType="separate"/>
      </w:r>
      <w:r>
        <w:rPr>
          <w:rFonts w:hint="eastAsia" w:cs="宋体"/>
          <w:kern w:val="2"/>
          <w:szCs w:val="24"/>
        </w:rPr>
        <w:t>7.7数据的导入、导出</w:t>
      </w:r>
      <w:r>
        <w:tab/>
      </w:r>
      <w:r>
        <w:fldChar w:fldCharType="begin"/>
      </w:r>
      <w:r>
        <w:instrText xml:space="preserve"> PAGEREF _Toc25604 \h </w:instrText>
      </w:r>
      <w:r>
        <w:fldChar w:fldCharType="separate"/>
      </w:r>
      <w:r>
        <w:t>27</w:t>
      </w:r>
      <w:r>
        <w:fldChar w:fldCharType="end"/>
      </w:r>
      <w:r>
        <w:rPr>
          <w:rFonts w:hint="eastAsia" w:cs="宋体"/>
        </w:rPr>
        <w:fldChar w:fldCharType="end"/>
      </w:r>
    </w:p>
    <w:p w14:paraId="5B34B442">
      <w:pPr>
        <w:pStyle w:val="18"/>
        <w:tabs>
          <w:tab w:val="right" w:leader="dot" w:pos="8975"/>
        </w:tabs>
      </w:pPr>
      <w:r>
        <w:rPr>
          <w:rFonts w:hint="eastAsia" w:cs="宋体"/>
        </w:rPr>
        <w:fldChar w:fldCharType="begin"/>
      </w:r>
      <w:r>
        <w:rPr>
          <w:rFonts w:hint="eastAsia" w:cs="宋体"/>
        </w:rPr>
        <w:instrText xml:space="preserve"> HYPERLINK \l _Toc17567 </w:instrText>
      </w:r>
      <w:r>
        <w:rPr>
          <w:rFonts w:hint="eastAsia" w:cs="宋体"/>
        </w:rPr>
        <w:fldChar w:fldCharType="separate"/>
      </w:r>
      <w:r>
        <w:rPr>
          <w:rFonts w:hint="eastAsia" w:cs="宋体"/>
          <w:kern w:val="2"/>
          <w:szCs w:val="24"/>
        </w:rPr>
        <w:t>7.8日志管理</w:t>
      </w:r>
      <w:r>
        <w:tab/>
      </w:r>
      <w:r>
        <w:fldChar w:fldCharType="begin"/>
      </w:r>
      <w:r>
        <w:instrText xml:space="preserve"> PAGEREF _Toc17567 \h </w:instrText>
      </w:r>
      <w:r>
        <w:fldChar w:fldCharType="separate"/>
      </w:r>
      <w:r>
        <w:t>27</w:t>
      </w:r>
      <w:r>
        <w:fldChar w:fldCharType="end"/>
      </w:r>
      <w:r>
        <w:rPr>
          <w:rFonts w:hint="eastAsia" w:cs="宋体"/>
        </w:rPr>
        <w:fldChar w:fldCharType="end"/>
      </w:r>
    </w:p>
    <w:p w14:paraId="01D266FA">
      <w:pPr>
        <w:pStyle w:val="13"/>
        <w:tabs>
          <w:tab w:val="right" w:leader="dot" w:pos="8975"/>
        </w:tabs>
      </w:pPr>
      <w:r>
        <w:rPr>
          <w:rFonts w:hint="eastAsia" w:cs="宋体"/>
        </w:rPr>
        <w:fldChar w:fldCharType="begin"/>
      </w:r>
      <w:r>
        <w:rPr>
          <w:rFonts w:hint="eastAsia" w:cs="宋体"/>
        </w:rPr>
        <w:instrText xml:space="preserve"> HYPERLINK \l _Toc5285 </w:instrText>
      </w:r>
      <w:r>
        <w:rPr>
          <w:rFonts w:hint="eastAsia" w:cs="宋体"/>
        </w:rPr>
        <w:fldChar w:fldCharType="separate"/>
      </w:r>
      <w:r>
        <w:rPr>
          <w:rFonts w:hint="eastAsia" w:cs="宋体"/>
          <w:kern w:val="2"/>
          <w:szCs w:val="24"/>
        </w:rPr>
        <w:t>8.数据分析</w:t>
      </w:r>
      <w:r>
        <w:tab/>
      </w:r>
      <w:r>
        <w:fldChar w:fldCharType="begin"/>
      </w:r>
      <w:r>
        <w:instrText xml:space="preserve"> PAGEREF _Toc5285 \h </w:instrText>
      </w:r>
      <w:r>
        <w:fldChar w:fldCharType="separate"/>
      </w:r>
      <w:r>
        <w:t>27</w:t>
      </w:r>
      <w:r>
        <w:fldChar w:fldCharType="end"/>
      </w:r>
      <w:r>
        <w:rPr>
          <w:rFonts w:hint="eastAsia" w:cs="宋体"/>
        </w:rPr>
        <w:fldChar w:fldCharType="end"/>
      </w:r>
    </w:p>
    <w:p w14:paraId="7EB72F9B">
      <w:pPr>
        <w:pStyle w:val="18"/>
        <w:tabs>
          <w:tab w:val="right" w:leader="dot" w:pos="8975"/>
        </w:tabs>
      </w:pPr>
      <w:r>
        <w:rPr>
          <w:rFonts w:hint="eastAsia" w:cs="宋体"/>
        </w:rPr>
        <w:fldChar w:fldCharType="begin"/>
      </w:r>
      <w:r>
        <w:rPr>
          <w:rFonts w:hint="eastAsia" w:cs="宋体"/>
        </w:rPr>
        <w:instrText xml:space="preserve"> HYPERLINK \l _Toc25405 </w:instrText>
      </w:r>
      <w:r>
        <w:rPr>
          <w:rFonts w:hint="eastAsia" w:cs="宋体"/>
        </w:rPr>
        <w:fldChar w:fldCharType="separate"/>
      </w:r>
      <w:r>
        <w:rPr>
          <w:rFonts w:hint="eastAsia" w:cs="宋体"/>
          <w:kern w:val="2"/>
          <w:szCs w:val="24"/>
        </w:rPr>
        <w:t>8.1数据工厂</w:t>
      </w:r>
      <w:r>
        <w:tab/>
      </w:r>
      <w:r>
        <w:fldChar w:fldCharType="begin"/>
      </w:r>
      <w:r>
        <w:instrText xml:space="preserve"> PAGEREF _Toc25405 \h </w:instrText>
      </w:r>
      <w:r>
        <w:fldChar w:fldCharType="separate"/>
      </w:r>
      <w:r>
        <w:t>27</w:t>
      </w:r>
      <w:r>
        <w:fldChar w:fldCharType="end"/>
      </w:r>
      <w:r>
        <w:rPr>
          <w:rFonts w:hint="eastAsia" w:cs="宋体"/>
        </w:rPr>
        <w:fldChar w:fldCharType="end"/>
      </w:r>
    </w:p>
    <w:p w14:paraId="7910EA0E">
      <w:pPr>
        <w:pStyle w:val="18"/>
        <w:tabs>
          <w:tab w:val="right" w:leader="dot" w:pos="8975"/>
        </w:tabs>
      </w:pPr>
      <w:r>
        <w:rPr>
          <w:rFonts w:hint="eastAsia" w:cs="宋体"/>
        </w:rPr>
        <w:fldChar w:fldCharType="begin"/>
      </w:r>
      <w:r>
        <w:rPr>
          <w:rFonts w:hint="eastAsia" w:cs="宋体"/>
        </w:rPr>
        <w:instrText xml:space="preserve"> HYPERLINK \l _Toc16103 </w:instrText>
      </w:r>
      <w:r>
        <w:rPr>
          <w:rFonts w:hint="eastAsia" w:cs="宋体"/>
        </w:rPr>
        <w:fldChar w:fldCharType="separate"/>
      </w:r>
      <w:r>
        <w:rPr>
          <w:rFonts w:hint="eastAsia" w:asciiTheme="minorEastAsia" w:hAnsiTheme="minorEastAsia" w:eastAsiaTheme="minorEastAsia"/>
          <w:bCs/>
          <w:szCs w:val="24"/>
        </w:rPr>
        <w:t>8.2语义建模</w:t>
      </w:r>
      <w:r>
        <w:tab/>
      </w:r>
      <w:r>
        <w:fldChar w:fldCharType="begin"/>
      </w:r>
      <w:r>
        <w:instrText xml:space="preserve"> PAGEREF _Toc16103 \h </w:instrText>
      </w:r>
      <w:r>
        <w:fldChar w:fldCharType="separate"/>
      </w:r>
      <w:r>
        <w:t>28</w:t>
      </w:r>
      <w:r>
        <w:fldChar w:fldCharType="end"/>
      </w:r>
      <w:r>
        <w:rPr>
          <w:rFonts w:hint="eastAsia" w:cs="宋体"/>
        </w:rPr>
        <w:fldChar w:fldCharType="end"/>
      </w:r>
    </w:p>
    <w:p w14:paraId="72ACBCF4">
      <w:pPr>
        <w:pStyle w:val="18"/>
        <w:tabs>
          <w:tab w:val="right" w:leader="dot" w:pos="8975"/>
        </w:tabs>
      </w:pPr>
      <w:r>
        <w:rPr>
          <w:rFonts w:hint="eastAsia" w:cs="宋体"/>
        </w:rPr>
        <w:fldChar w:fldCharType="begin"/>
      </w:r>
      <w:r>
        <w:rPr>
          <w:rFonts w:hint="eastAsia" w:cs="宋体"/>
        </w:rPr>
        <w:instrText xml:space="preserve"> HYPERLINK \l _Toc2885 </w:instrText>
      </w:r>
      <w:r>
        <w:rPr>
          <w:rFonts w:hint="eastAsia" w:cs="宋体"/>
        </w:rPr>
        <w:fldChar w:fldCharType="separate"/>
      </w:r>
      <w:r>
        <w:rPr>
          <w:rFonts w:hint="eastAsia" w:asciiTheme="minorEastAsia" w:hAnsiTheme="minorEastAsia" w:eastAsiaTheme="minorEastAsia"/>
          <w:bCs/>
          <w:szCs w:val="24"/>
        </w:rPr>
        <w:t>8.3智能分析</w:t>
      </w:r>
      <w:r>
        <w:tab/>
      </w:r>
      <w:r>
        <w:fldChar w:fldCharType="begin"/>
      </w:r>
      <w:r>
        <w:instrText xml:space="preserve"> PAGEREF _Toc2885 \h </w:instrText>
      </w:r>
      <w:r>
        <w:fldChar w:fldCharType="separate"/>
      </w:r>
      <w:r>
        <w:t>28</w:t>
      </w:r>
      <w:r>
        <w:fldChar w:fldCharType="end"/>
      </w:r>
      <w:r>
        <w:rPr>
          <w:rFonts w:hint="eastAsia" w:cs="宋体"/>
        </w:rPr>
        <w:fldChar w:fldCharType="end"/>
      </w:r>
    </w:p>
    <w:p w14:paraId="5DEA6752">
      <w:pPr>
        <w:pStyle w:val="13"/>
        <w:tabs>
          <w:tab w:val="right" w:leader="dot" w:pos="8975"/>
        </w:tabs>
      </w:pPr>
      <w:r>
        <w:rPr>
          <w:rFonts w:hint="eastAsia" w:cs="宋体"/>
        </w:rPr>
        <w:fldChar w:fldCharType="begin"/>
      </w:r>
      <w:r>
        <w:rPr>
          <w:rFonts w:hint="eastAsia" w:cs="宋体"/>
        </w:rPr>
        <w:instrText xml:space="preserve"> HYPERLINK \l _Toc9995 </w:instrText>
      </w:r>
      <w:r>
        <w:rPr>
          <w:rFonts w:hint="eastAsia" w:cs="宋体"/>
        </w:rPr>
        <w:fldChar w:fldCharType="separate"/>
      </w:r>
      <w:r>
        <w:rPr>
          <w:rFonts w:hint="eastAsia" w:cs="宋体"/>
          <w:kern w:val="2"/>
          <w:szCs w:val="24"/>
        </w:rPr>
        <w:t>9.系统集成接口开发</w:t>
      </w:r>
      <w:r>
        <w:tab/>
      </w:r>
      <w:r>
        <w:fldChar w:fldCharType="begin"/>
      </w:r>
      <w:r>
        <w:instrText xml:space="preserve"> PAGEREF _Toc9995 \h </w:instrText>
      </w:r>
      <w:r>
        <w:fldChar w:fldCharType="separate"/>
      </w:r>
      <w:r>
        <w:t>29</w:t>
      </w:r>
      <w:r>
        <w:fldChar w:fldCharType="end"/>
      </w:r>
      <w:r>
        <w:rPr>
          <w:rFonts w:hint="eastAsia" w:cs="宋体"/>
        </w:rPr>
        <w:fldChar w:fldCharType="end"/>
      </w:r>
    </w:p>
    <w:p w14:paraId="6C5BAABE">
      <w:pPr>
        <w:pStyle w:val="18"/>
        <w:tabs>
          <w:tab w:val="right" w:leader="dot" w:pos="8975"/>
        </w:tabs>
      </w:pPr>
      <w:r>
        <w:rPr>
          <w:rFonts w:hint="eastAsia" w:cs="宋体"/>
        </w:rPr>
        <w:fldChar w:fldCharType="begin"/>
      </w:r>
      <w:r>
        <w:rPr>
          <w:rFonts w:hint="eastAsia" w:cs="宋体"/>
        </w:rPr>
        <w:instrText xml:space="preserve"> HYPERLINK \l _Toc13388 </w:instrText>
      </w:r>
      <w:r>
        <w:rPr>
          <w:rFonts w:hint="eastAsia" w:cs="宋体"/>
        </w:rPr>
        <w:fldChar w:fldCharType="separate"/>
      </w:r>
      <w:r>
        <w:rPr>
          <w:rFonts w:hint="eastAsia" w:cs="宋体"/>
          <w:kern w:val="2"/>
          <w:szCs w:val="24"/>
        </w:rPr>
        <w:t>9.1与集团供应链接口</w:t>
      </w:r>
      <w:r>
        <w:tab/>
      </w:r>
      <w:r>
        <w:fldChar w:fldCharType="begin"/>
      </w:r>
      <w:r>
        <w:instrText xml:space="preserve"> PAGEREF _Toc13388 \h </w:instrText>
      </w:r>
      <w:r>
        <w:fldChar w:fldCharType="separate"/>
      </w:r>
      <w:r>
        <w:t>29</w:t>
      </w:r>
      <w:r>
        <w:fldChar w:fldCharType="end"/>
      </w:r>
      <w:r>
        <w:rPr>
          <w:rFonts w:hint="eastAsia" w:cs="宋体"/>
        </w:rPr>
        <w:fldChar w:fldCharType="end"/>
      </w:r>
    </w:p>
    <w:p w14:paraId="4992F6F8">
      <w:pPr>
        <w:pStyle w:val="18"/>
        <w:tabs>
          <w:tab w:val="right" w:leader="dot" w:pos="8975"/>
        </w:tabs>
      </w:pPr>
      <w:r>
        <w:rPr>
          <w:rFonts w:hint="eastAsia" w:cs="宋体"/>
        </w:rPr>
        <w:fldChar w:fldCharType="begin"/>
      </w:r>
      <w:r>
        <w:rPr>
          <w:rFonts w:hint="eastAsia" w:cs="宋体"/>
        </w:rPr>
        <w:instrText xml:space="preserve"> HYPERLINK \l _Toc320 </w:instrText>
      </w:r>
      <w:r>
        <w:rPr>
          <w:rFonts w:hint="eastAsia" w:cs="宋体"/>
        </w:rPr>
        <w:fldChar w:fldCharType="separate"/>
      </w:r>
      <w:r>
        <w:rPr>
          <w:rFonts w:hint="eastAsia" w:cs="宋体"/>
          <w:kern w:val="2"/>
          <w:szCs w:val="24"/>
        </w:rPr>
        <w:t>9.2与集团财务系统接口</w:t>
      </w:r>
      <w:r>
        <w:tab/>
      </w:r>
      <w:r>
        <w:fldChar w:fldCharType="begin"/>
      </w:r>
      <w:r>
        <w:instrText xml:space="preserve"> PAGEREF _Toc320 \h </w:instrText>
      </w:r>
      <w:r>
        <w:fldChar w:fldCharType="separate"/>
      </w:r>
      <w:r>
        <w:t>30</w:t>
      </w:r>
      <w:r>
        <w:fldChar w:fldCharType="end"/>
      </w:r>
      <w:r>
        <w:rPr>
          <w:rFonts w:hint="eastAsia" w:cs="宋体"/>
        </w:rPr>
        <w:fldChar w:fldCharType="end"/>
      </w:r>
    </w:p>
    <w:p w14:paraId="44705DE3">
      <w:pPr>
        <w:pStyle w:val="18"/>
        <w:tabs>
          <w:tab w:val="right" w:leader="dot" w:pos="8975"/>
        </w:tabs>
      </w:pPr>
      <w:r>
        <w:rPr>
          <w:rFonts w:hint="eastAsia" w:cs="宋体"/>
        </w:rPr>
        <w:fldChar w:fldCharType="begin"/>
      </w:r>
      <w:r>
        <w:rPr>
          <w:rFonts w:hint="eastAsia" w:cs="宋体"/>
        </w:rPr>
        <w:instrText xml:space="preserve"> HYPERLINK \l _Toc14573 </w:instrText>
      </w:r>
      <w:r>
        <w:rPr>
          <w:rFonts w:hint="eastAsia" w:cs="宋体"/>
        </w:rPr>
        <w:fldChar w:fldCharType="separate"/>
      </w:r>
      <w:r>
        <w:rPr>
          <w:rFonts w:hint="eastAsia" w:cs="宋体"/>
          <w:kern w:val="2"/>
          <w:szCs w:val="24"/>
        </w:rPr>
        <w:t>9.3与工智道开票系统接口</w:t>
      </w:r>
      <w:r>
        <w:tab/>
      </w:r>
      <w:r>
        <w:fldChar w:fldCharType="begin"/>
      </w:r>
      <w:r>
        <w:instrText xml:space="preserve"> PAGEREF _Toc14573 \h </w:instrText>
      </w:r>
      <w:r>
        <w:fldChar w:fldCharType="separate"/>
      </w:r>
      <w:r>
        <w:t>31</w:t>
      </w:r>
      <w:r>
        <w:fldChar w:fldCharType="end"/>
      </w:r>
      <w:r>
        <w:rPr>
          <w:rFonts w:hint="eastAsia" w:cs="宋体"/>
        </w:rPr>
        <w:fldChar w:fldCharType="end"/>
      </w:r>
    </w:p>
    <w:p w14:paraId="0EE7DD60">
      <w:pPr>
        <w:pStyle w:val="18"/>
        <w:tabs>
          <w:tab w:val="right" w:leader="dot" w:pos="8975"/>
        </w:tabs>
      </w:pPr>
      <w:r>
        <w:rPr>
          <w:rFonts w:hint="eastAsia" w:cs="宋体"/>
        </w:rPr>
        <w:fldChar w:fldCharType="begin"/>
      </w:r>
      <w:r>
        <w:rPr>
          <w:rFonts w:hint="eastAsia" w:cs="宋体"/>
        </w:rPr>
        <w:instrText xml:space="preserve"> HYPERLINK \l _Toc57 </w:instrText>
      </w:r>
      <w:r>
        <w:rPr>
          <w:rFonts w:hint="eastAsia" w:cs="宋体"/>
        </w:rPr>
        <w:fldChar w:fldCharType="separate"/>
      </w:r>
      <w:r>
        <w:rPr>
          <w:rFonts w:hint="eastAsia" w:cs="宋体"/>
          <w:kern w:val="2"/>
          <w:szCs w:val="24"/>
        </w:rPr>
        <w:t>9.4与东南现有数据平台接口</w:t>
      </w:r>
      <w:r>
        <w:tab/>
      </w:r>
      <w:r>
        <w:fldChar w:fldCharType="begin"/>
      </w:r>
      <w:r>
        <w:instrText xml:space="preserve"> PAGEREF _Toc57 \h </w:instrText>
      </w:r>
      <w:r>
        <w:fldChar w:fldCharType="separate"/>
      </w:r>
      <w:r>
        <w:t>31</w:t>
      </w:r>
      <w:r>
        <w:fldChar w:fldCharType="end"/>
      </w:r>
      <w:r>
        <w:rPr>
          <w:rFonts w:hint="eastAsia" w:cs="宋体"/>
        </w:rPr>
        <w:fldChar w:fldCharType="end"/>
      </w:r>
    </w:p>
    <w:p w14:paraId="24F187AA">
      <w:pPr>
        <w:pStyle w:val="20"/>
        <w:tabs>
          <w:tab w:val="right" w:leader="dot" w:pos="8975"/>
        </w:tabs>
      </w:pPr>
      <w:r>
        <w:rPr>
          <w:rFonts w:hint="eastAsia" w:cs="宋体"/>
        </w:rPr>
        <w:fldChar w:fldCharType="begin"/>
      </w:r>
      <w:r>
        <w:rPr>
          <w:rFonts w:hint="eastAsia" w:cs="宋体"/>
        </w:rPr>
        <w:instrText xml:space="preserve"> HYPERLINK \l _Toc16781 </w:instrText>
      </w:r>
      <w:r>
        <w:rPr>
          <w:rFonts w:hint="eastAsia" w:cs="宋体"/>
        </w:rPr>
        <w:fldChar w:fldCharType="separate"/>
      </w:r>
      <w:r>
        <w:rPr>
          <w:rFonts w:hint="eastAsia" w:ascii="楷体_GB2312" w:hAnsi="楷体_GB2312" w:eastAsia="楷体_GB2312" w:cs="楷体_GB2312"/>
          <w:kern w:val="2"/>
          <w:szCs w:val="32"/>
        </w:rPr>
        <w:t>（二）系统技术要求</w:t>
      </w:r>
      <w:r>
        <w:tab/>
      </w:r>
      <w:r>
        <w:fldChar w:fldCharType="begin"/>
      </w:r>
      <w:r>
        <w:instrText xml:space="preserve"> PAGEREF _Toc16781 \h </w:instrText>
      </w:r>
      <w:r>
        <w:fldChar w:fldCharType="separate"/>
      </w:r>
      <w:r>
        <w:t>31</w:t>
      </w:r>
      <w:r>
        <w:fldChar w:fldCharType="end"/>
      </w:r>
      <w:r>
        <w:rPr>
          <w:rFonts w:hint="eastAsia" w:cs="宋体"/>
        </w:rPr>
        <w:fldChar w:fldCharType="end"/>
      </w:r>
    </w:p>
    <w:p w14:paraId="5D8CBC7E">
      <w:pPr>
        <w:pStyle w:val="13"/>
        <w:tabs>
          <w:tab w:val="right" w:leader="dot" w:pos="8975"/>
        </w:tabs>
      </w:pPr>
      <w:r>
        <w:rPr>
          <w:rFonts w:hint="eastAsia" w:cs="宋体"/>
        </w:rPr>
        <w:fldChar w:fldCharType="begin"/>
      </w:r>
      <w:r>
        <w:rPr>
          <w:rFonts w:hint="eastAsia" w:cs="宋体"/>
        </w:rPr>
        <w:instrText xml:space="preserve"> HYPERLINK \l _Toc20826 </w:instrText>
      </w:r>
      <w:r>
        <w:rPr>
          <w:rFonts w:hint="eastAsia" w:cs="宋体"/>
        </w:rPr>
        <w:fldChar w:fldCharType="separate"/>
      </w:r>
      <w:r>
        <w:rPr>
          <w:rFonts w:hint="eastAsia" w:cs="宋体"/>
          <w:kern w:val="2"/>
          <w:szCs w:val="32"/>
        </w:rPr>
        <w:t>1.系统架构</w:t>
      </w:r>
      <w:r>
        <w:tab/>
      </w:r>
      <w:r>
        <w:fldChar w:fldCharType="begin"/>
      </w:r>
      <w:r>
        <w:instrText xml:space="preserve"> PAGEREF _Toc20826 \h </w:instrText>
      </w:r>
      <w:r>
        <w:fldChar w:fldCharType="separate"/>
      </w:r>
      <w:r>
        <w:t>31</w:t>
      </w:r>
      <w:r>
        <w:fldChar w:fldCharType="end"/>
      </w:r>
      <w:r>
        <w:rPr>
          <w:rFonts w:hint="eastAsia" w:cs="宋体"/>
        </w:rPr>
        <w:fldChar w:fldCharType="end"/>
      </w:r>
    </w:p>
    <w:p w14:paraId="0C7E94D3">
      <w:pPr>
        <w:pStyle w:val="13"/>
        <w:tabs>
          <w:tab w:val="right" w:leader="dot" w:pos="8975"/>
        </w:tabs>
      </w:pPr>
      <w:r>
        <w:rPr>
          <w:rFonts w:hint="eastAsia" w:cs="宋体"/>
        </w:rPr>
        <w:fldChar w:fldCharType="begin"/>
      </w:r>
      <w:r>
        <w:rPr>
          <w:rFonts w:hint="eastAsia" w:cs="宋体"/>
        </w:rPr>
        <w:instrText xml:space="preserve"> HYPERLINK \l _Toc6728 </w:instrText>
      </w:r>
      <w:r>
        <w:rPr>
          <w:rFonts w:hint="eastAsia" w:cs="宋体"/>
        </w:rPr>
        <w:fldChar w:fldCharType="separate"/>
      </w:r>
      <w:r>
        <w:rPr>
          <w:rFonts w:hint="eastAsia" w:cs="宋体"/>
          <w:kern w:val="2"/>
          <w:szCs w:val="32"/>
        </w:rPr>
        <w:t>2.系统安全</w:t>
      </w:r>
      <w:r>
        <w:tab/>
      </w:r>
      <w:r>
        <w:fldChar w:fldCharType="begin"/>
      </w:r>
      <w:r>
        <w:instrText xml:space="preserve"> PAGEREF _Toc6728 \h </w:instrText>
      </w:r>
      <w:r>
        <w:fldChar w:fldCharType="separate"/>
      </w:r>
      <w:r>
        <w:t>32</w:t>
      </w:r>
      <w:r>
        <w:fldChar w:fldCharType="end"/>
      </w:r>
      <w:r>
        <w:rPr>
          <w:rFonts w:hint="eastAsia" w:cs="宋体"/>
        </w:rPr>
        <w:fldChar w:fldCharType="end"/>
      </w:r>
    </w:p>
    <w:p w14:paraId="2B60B85A">
      <w:pPr>
        <w:pStyle w:val="13"/>
        <w:tabs>
          <w:tab w:val="right" w:leader="dot" w:pos="8975"/>
        </w:tabs>
      </w:pPr>
      <w:r>
        <w:rPr>
          <w:rFonts w:hint="eastAsia" w:cs="宋体"/>
        </w:rPr>
        <w:fldChar w:fldCharType="begin"/>
      </w:r>
      <w:r>
        <w:rPr>
          <w:rFonts w:hint="eastAsia" w:cs="宋体"/>
        </w:rPr>
        <w:instrText xml:space="preserve"> HYPERLINK \l _Toc15215 </w:instrText>
      </w:r>
      <w:r>
        <w:rPr>
          <w:rFonts w:hint="eastAsia" w:cs="宋体"/>
        </w:rPr>
        <w:fldChar w:fldCharType="separate"/>
      </w:r>
      <w:r>
        <w:rPr>
          <w:rFonts w:hint="eastAsia" w:cs="宋体"/>
          <w:kern w:val="2"/>
          <w:szCs w:val="32"/>
        </w:rPr>
        <w:t>3.数据库要求</w:t>
      </w:r>
      <w:r>
        <w:tab/>
      </w:r>
      <w:r>
        <w:fldChar w:fldCharType="begin"/>
      </w:r>
      <w:r>
        <w:instrText xml:space="preserve"> PAGEREF _Toc15215 \h </w:instrText>
      </w:r>
      <w:r>
        <w:fldChar w:fldCharType="separate"/>
      </w:r>
      <w:r>
        <w:t>32</w:t>
      </w:r>
      <w:r>
        <w:fldChar w:fldCharType="end"/>
      </w:r>
      <w:r>
        <w:rPr>
          <w:rFonts w:hint="eastAsia" w:cs="宋体"/>
        </w:rPr>
        <w:fldChar w:fldCharType="end"/>
      </w:r>
    </w:p>
    <w:p w14:paraId="0E7B95EE">
      <w:pPr>
        <w:pStyle w:val="13"/>
        <w:tabs>
          <w:tab w:val="right" w:leader="dot" w:pos="8975"/>
        </w:tabs>
      </w:pPr>
      <w:r>
        <w:rPr>
          <w:rFonts w:hint="eastAsia" w:cs="宋体"/>
        </w:rPr>
        <w:fldChar w:fldCharType="begin"/>
      </w:r>
      <w:r>
        <w:rPr>
          <w:rFonts w:hint="eastAsia" w:cs="宋体"/>
        </w:rPr>
        <w:instrText xml:space="preserve"> HYPERLINK \l _Toc30034 </w:instrText>
      </w:r>
      <w:r>
        <w:rPr>
          <w:rFonts w:hint="eastAsia" w:cs="宋体"/>
        </w:rPr>
        <w:fldChar w:fldCharType="separate"/>
      </w:r>
      <w:r>
        <w:rPr>
          <w:rFonts w:hint="eastAsia" w:cs="宋体"/>
          <w:kern w:val="2"/>
          <w:szCs w:val="32"/>
        </w:rPr>
        <w:t>4.系统性能</w:t>
      </w:r>
      <w:r>
        <w:tab/>
      </w:r>
      <w:r>
        <w:fldChar w:fldCharType="begin"/>
      </w:r>
      <w:r>
        <w:instrText xml:space="preserve"> PAGEREF _Toc30034 \h </w:instrText>
      </w:r>
      <w:r>
        <w:fldChar w:fldCharType="separate"/>
      </w:r>
      <w:r>
        <w:t>32</w:t>
      </w:r>
      <w:r>
        <w:fldChar w:fldCharType="end"/>
      </w:r>
      <w:r>
        <w:rPr>
          <w:rFonts w:hint="eastAsia" w:cs="宋体"/>
        </w:rPr>
        <w:fldChar w:fldCharType="end"/>
      </w:r>
    </w:p>
    <w:p w14:paraId="4C57E631">
      <w:pPr>
        <w:pStyle w:val="13"/>
        <w:tabs>
          <w:tab w:val="right" w:leader="dot" w:pos="8975"/>
        </w:tabs>
      </w:pPr>
      <w:r>
        <w:rPr>
          <w:rFonts w:hint="eastAsia" w:cs="宋体"/>
        </w:rPr>
        <w:fldChar w:fldCharType="begin"/>
      </w:r>
      <w:r>
        <w:rPr>
          <w:rFonts w:hint="eastAsia" w:cs="宋体"/>
        </w:rPr>
        <w:instrText xml:space="preserve"> HYPERLINK \l _Toc31762 </w:instrText>
      </w:r>
      <w:r>
        <w:rPr>
          <w:rFonts w:hint="eastAsia" w:cs="宋体"/>
        </w:rPr>
        <w:fldChar w:fldCharType="separate"/>
      </w:r>
      <w:r>
        <w:rPr>
          <w:rFonts w:hint="eastAsia" w:cs="宋体"/>
          <w:kern w:val="2"/>
          <w:szCs w:val="32"/>
        </w:rPr>
        <w:t>5.系统技术指标</w:t>
      </w:r>
      <w:r>
        <w:tab/>
      </w:r>
      <w:r>
        <w:fldChar w:fldCharType="begin"/>
      </w:r>
      <w:r>
        <w:instrText xml:space="preserve"> PAGEREF _Toc31762 \h </w:instrText>
      </w:r>
      <w:r>
        <w:fldChar w:fldCharType="separate"/>
      </w:r>
      <w:r>
        <w:t>33</w:t>
      </w:r>
      <w:r>
        <w:fldChar w:fldCharType="end"/>
      </w:r>
      <w:r>
        <w:rPr>
          <w:rFonts w:hint="eastAsia" w:cs="宋体"/>
        </w:rPr>
        <w:fldChar w:fldCharType="end"/>
      </w:r>
    </w:p>
    <w:p w14:paraId="6795811C">
      <w:pPr>
        <w:pStyle w:val="13"/>
        <w:tabs>
          <w:tab w:val="right" w:leader="dot" w:pos="8975"/>
        </w:tabs>
      </w:pPr>
      <w:r>
        <w:rPr>
          <w:rFonts w:hint="eastAsia" w:cs="宋体"/>
        </w:rPr>
        <w:fldChar w:fldCharType="begin"/>
      </w:r>
      <w:r>
        <w:rPr>
          <w:rFonts w:hint="eastAsia" w:cs="宋体"/>
        </w:rPr>
        <w:instrText xml:space="preserve"> HYPERLINK \l _Toc25932 </w:instrText>
      </w:r>
      <w:r>
        <w:rPr>
          <w:rFonts w:hint="eastAsia" w:cs="宋体"/>
        </w:rPr>
        <w:fldChar w:fldCharType="separate"/>
      </w:r>
      <w:r>
        <w:rPr>
          <w:rFonts w:hint="eastAsia" w:cs="宋体"/>
          <w:kern w:val="2"/>
          <w:szCs w:val="32"/>
        </w:rPr>
        <w:t>6.移动端应用需求</w:t>
      </w:r>
      <w:r>
        <w:tab/>
      </w:r>
      <w:r>
        <w:fldChar w:fldCharType="begin"/>
      </w:r>
      <w:r>
        <w:instrText xml:space="preserve"> PAGEREF _Toc25932 \h </w:instrText>
      </w:r>
      <w:r>
        <w:fldChar w:fldCharType="separate"/>
      </w:r>
      <w:r>
        <w:t>33</w:t>
      </w:r>
      <w:r>
        <w:fldChar w:fldCharType="end"/>
      </w:r>
      <w:r>
        <w:rPr>
          <w:rFonts w:hint="eastAsia" w:cs="宋体"/>
        </w:rPr>
        <w:fldChar w:fldCharType="end"/>
      </w:r>
    </w:p>
    <w:p w14:paraId="560CFBB1">
      <w:pPr>
        <w:pStyle w:val="13"/>
        <w:tabs>
          <w:tab w:val="right" w:leader="dot" w:pos="8975"/>
        </w:tabs>
      </w:pPr>
      <w:r>
        <w:rPr>
          <w:rFonts w:hint="eastAsia" w:cs="宋体"/>
        </w:rPr>
        <w:fldChar w:fldCharType="begin"/>
      </w:r>
      <w:r>
        <w:rPr>
          <w:rFonts w:hint="eastAsia" w:cs="宋体"/>
        </w:rPr>
        <w:instrText xml:space="preserve"> HYPERLINK \l _Toc8476 </w:instrText>
      </w:r>
      <w:r>
        <w:rPr>
          <w:rFonts w:hint="eastAsia" w:cs="宋体"/>
        </w:rPr>
        <w:fldChar w:fldCharType="separate"/>
      </w:r>
      <w:r>
        <w:rPr>
          <w:rFonts w:hint="eastAsia" w:cs="宋体"/>
          <w:kern w:val="2"/>
          <w:szCs w:val="32"/>
        </w:rPr>
        <w:t>7.系统集成要求</w:t>
      </w:r>
      <w:r>
        <w:tab/>
      </w:r>
      <w:r>
        <w:fldChar w:fldCharType="begin"/>
      </w:r>
      <w:r>
        <w:instrText xml:space="preserve"> PAGEREF _Toc8476 \h </w:instrText>
      </w:r>
      <w:r>
        <w:fldChar w:fldCharType="separate"/>
      </w:r>
      <w:r>
        <w:t>33</w:t>
      </w:r>
      <w:r>
        <w:fldChar w:fldCharType="end"/>
      </w:r>
      <w:r>
        <w:rPr>
          <w:rFonts w:hint="eastAsia" w:cs="宋体"/>
        </w:rPr>
        <w:fldChar w:fldCharType="end"/>
      </w:r>
    </w:p>
    <w:p w14:paraId="7BC307E0">
      <w:pPr>
        <w:pStyle w:val="13"/>
        <w:tabs>
          <w:tab w:val="right" w:leader="dot" w:pos="8975"/>
        </w:tabs>
      </w:pPr>
      <w:r>
        <w:rPr>
          <w:rFonts w:hint="eastAsia" w:cs="宋体"/>
        </w:rPr>
        <w:fldChar w:fldCharType="begin"/>
      </w:r>
      <w:r>
        <w:rPr>
          <w:rFonts w:hint="eastAsia" w:cs="宋体"/>
        </w:rPr>
        <w:instrText xml:space="preserve"> HYPERLINK \l _Toc30563 </w:instrText>
      </w:r>
      <w:r>
        <w:rPr>
          <w:rFonts w:hint="eastAsia" w:cs="宋体"/>
        </w:rPr>
        <w:fldChar w:fldCharType="separate"/>
      </w:r>
      <w:r>
        <w:rPr>
          <w:rFonts w:hint="eastAsia" w:cs="宋体"/>
          <w:kern w:val="2"/>
          <w:szCs w:val="32"/>
        </w:rPr>
        <w:t>8.软件系统要求</w:t>
      </w:r>
      <w:r>
        <w:tab/>
      </w:r>
      <w:r>
        <w:fldChar w:fldCharType="begin"/>
      </w:r>
      <w:r>
        <w:instrText xml:space="preserve"> PAGEREF _Toc30563 \h </w:instrText>
      </w:r>
      <w:r>
        <w:fldChar w:fldCharType="separate"/>
      </w:r>
      <w:r>
        <w:t>34</w:t>
      </w:r>
      <w:r>
        <w:fldChar w:fldCharType="end"/>
      </w:r>
      <w:r>
        <w:rPr>
          <w:rFonts w:hint="eastAsia" w:cs="宋体"/>
        </w:rPr>
        <w:fldChar w:fldCharType="end"/>
      </w:r>
    </w:p>
    <w:p w14:paraId="77CCA5DD">
      <w:pPr>
        <w:pStyle w:val="13"/>
        <w:tabs>
          <w:tab w:val="right" w:leader="dot" w:pos="8975"/>
        </w:tabs>
      </w:pPr>
      <w:r>
        <w:rPr>
          <w:rFonts w:hint="eastAsia" w:cs="宋体"/>
        </w:rPr>
        <w:fldChar w:fldCharType="begin"/>
      </w:r>
      <w:r>
        <w:rPr>
          <w:rFonts w:hint="eastAsia" w:cs="宋体"/>
        </w:rPr>
        <w:instrText xml:space="preserve"> HYPERLINK \l _Toc18142 </w:instrText>
      </w:r>
      <w:r>
        <w:rPr>
          <w:rFonts w:hint="eastAsia" w:cs="宋体"/>
        </w:rPr>
        <w:fldChar w:fldCharType="separate"/>
      </w:r>
      <w:r>
        <w:rPr>
          <w:rFonts w:hint="eastAsia" w:cs="宋体"/>
          <w:kern w:val="2"/>
          <w:szCs w:val="32"/>
        </w:rPr>
        <w:t>9.验收标准</w:t>
      </w:r>
      <w:r>
        <w:tab/>
      </w:r>
      <w:r>
        <w:fldChar w:fldCharType="begin"/>
      </w:r>
      <w:r>
        <w:instrText xml:space="preserve"> PAGEREF _Toc18142 \h </w:instrText>
      </w:r>
      <w:r>
        <w:fldChar w:fldCharType="separate"/>
      </w:r>
      <w:r>
        <w:t>34</w:t>
      </w:r>
      <w:r>
        <w:fldChar w:fldCharType="end"/>
      </w:r>
      <w:r>
        <w:rPr>
          <w:rFonts w:hint="eastAsia" w:cs="宋体"/>
        </w:rPr>
        <w:fldChar w:fldCharType="end"/>
      </w:r>
    </w:p>
    <w:p w14:paraId="4C0A2516">
      <w:pPr>
        <w:pStyle w:val="18"/>
        <w:tabs>
          <w:tab w:val="right" w:leader="dot" w:pos="8975"/>
        </w:tabs>
      </w:pPr>
      <w:r>
        <w:rPr>
          <w:rFonts w:hint="eastAsia" w:cs="宋体"/>
        </w:rPr>
        <w:fldChar w:fldCharType="begin"/>
      </w:r>
      <w:r>
        <w:rPr>
          <w:rFonts w:hint="eastAsia" w:cs="宋体"/>
        </w:rPr>
        <w:instrText xml:space="preserve"> HYPERLINK \l _Toc21290 </w:instrText>
      </w:r>
      <w:r>
        <w:rPr>
          <w:rFonts w:hint="eastAsia" w:cs="宋体"/>
        </w:rPr>
        <w:fldChar w:fldCharType="separate"/>
      </w:r>
      <w:r>
        <w:rPr>
          <w:rFonts w:hint="eastAsia"/>
        </w:rPr>
        <w:t>9.1验收依据</w:t>
      </w:r>
      <w:r>
        <w:tab/>
      </w:r>
      <w:r>
        <w:fldChar w:fldCharType="begin"/>
      </w:r>
      <w:r>
        <w:instrText xml:space="preserve"> PAGEREF _Toc21290 \h </w:instrText>
      </w:r>
      <w:r>
        <w:fldChar w:fldCharType="separate"/>
      </w:r>
      <w:r>
        <w:t>34</w:t>
      </w:r>
      <w:r>
        <w:fldChar w:fldCharType="end"/>
      </w:r>
      <w:r>
        <w:rPr>
          <w:rFonts w:hint="eastAsia" w:cs="宋体"/>
        </w:rPr>
        <w:fldChar w:fldCharType="end"/>
      </w:r>
    </w:p>
    <w:p w14:paraId="6E014C7F">
      <w:pPr>
        <w:pStyle w:val="18"/>
        <w:tabs>
          <w:tab w:val="right" w:leader="dot" w:pos="8975"/>
        </w:tabs>
      </w:pPr>
      <w:r>
        <w:rPr>
          <w:rFonts w:hint="eastAsia" w:cs="宋体"/>
        </w:rPr>
        <w:fldChar w:fldCharType="begin"/>
      </w:r>
      <w:r>
        <w:rPr>
          <w:rFonts w:hint="eastAsia" w:cs="宋体"/>
        </w:rPr>
        <w:instrText xml:space="preserve"> HYPERLINK \l _Toc10492 </w:instrText>
      </w:r>
      <w:r>
        <w:rPr>
          <w:rFonts w:hint="eastAsia" w:cs="宋体"/>
        </w:rPr>
        <w:fldChar w:fldCharType="separate"/>
      </w:r>
      <w:r>
        <w:rPr>
          <w:rFonts w:hint="eastAsia"/>
        </w:rPr>
        <w:t>9.2验收条件</w:t>
      </w:r>
      <w:r>
        <w:tab/>
      </w:r>
      <w:r>
        <w:fldChar w:fldCharType="begin"/>
      </w:r>
      <w:r>
        <w:instrText xml:space="preserve"> PAGEREF _Toc10492 \h </w:instrText>
      </w:r>
      <w:r>
        <w:fldChar w:fldCharType="separate"/>
      </w:r>
      <w:r>
        <w:t>34</w:t>
      </w:r>
      <w:r>
        <w:fldChar w:fldCharType="end"/>
      </w:r>
      <w:r>
        <w:rPr>
          <w:rFonts w:hint="eastAsia" w:cs="宋体"/>
        </w:rPr>
        <w:fldChar w:fldCharType="end"/>
      </w:r>
    </w:p>
    <w:p w14:paraId="502C24F9">
      <w:pPr>
        <w:pStyle w:val="18"/>
        <w:tabs>
          <w:tab w:val="right" w:leader="dot" w:pos="8975"/>
        </w:tabs>
      </w:pPr>
      <w:r>
        <w:rPr>
          <w:rFonts w:hint="eastAsia" w:cs="宋体"/>
        </w:rPr>
        <w:fldChar w:fldCharType="begin"/>
      </w:r>
      <w:r>
        <w:rPr>
          <w:rFonts w:hint="eastAsia" w:cs="宋体"/>
        </w:rPr>
        <w:instrText xml:space="preserve"> HYPERLINK \l _Toc13973 </w:instrText>
      </w:r>
      <w:r>
        <w:rPr>
          <w:rFonts w:hint="eastAsia" w:cs="宋体"/>
        </w:rPr>
        <w:fldChar w:fldCharType="separate"/>
      </w:r>
      <w:r>
        <w:rPr>
          <w:rFonts w:hint="eastAsia"/>
        </w:rPr>
        <w:t>9.3验收方式</w:t>
      </w:r>
      <w:r>
        <w:tab/>
      </w:r>
      <w:r>
        <w:fldChar w:fldCharType="begin"/>
      </w:r>
      <w:r>
        <w:instrText xml:space="preserve"> PAGEREF _Toc13973 \h </w:instrText>
      </w:r>
      <w:r>
        <w:fldChar w:fldCharType="separate"/>
      </w:r>
      <w:r>
        <w:t>35</w:t>
      </w:r>
      <w:r>
        <w:fldChar w:fldCharType="end"/>
      </w:r>
      <w:r>
        <w:rPr>
          <w:rFonts w:hint="eastAsia" w:cs="宋体"/>
        </w:rPr>
        <w:fldChar w:fldCharType="end"/>
      </w:r>
    </w:p>
    <w:p w14:paraId="3076F2DD">
      <w:pPr>
        <w:pStyle w:val="18"/>
        <w:tabs>
          <w:tab w:val="right" w:leader="dot" w:pos="8975"/>
        </w:tabs>
      </w:pPr>
      <w:r>
        <w:rPr>
          <w:rFonts w:hint="eastAsia" w:cs="宋体"/>
        </w:rPr>
        <w:fldChar w:fldCharType="begin"/>
      </w:r>
      <w:r>
        <w:rPr>
          <w:rFonts w:hint="eastAsia" w:cs="宋体"/>
        </w:rPr>
        <w:instrText xml:space="preserve"> HYPERLINK \l _Toc8974 </w:instrText>
      </w:r>
      <w:r>
        <w:rPr>
          <w:rFonts w:hint="eastAsia" w:cs="宋体"/>
        </w:rPr>
        <w:fldChar w:fldCharType="separate"/>
      </w:r>
      <w:r>
        <w:rPr>
          <w:rFonts w:hint="eastAsia"/>
          <w:bCs/>
        </w:rPr>
        <w:t>9.4验收标准</w:t>
      </w:r>
      <w:r>
        <w:tab/>
      </w:r>
      <w:r>
        <w:fldChar w:fldCharType="begin"/>
      </w:r>
      <w:r>
        <w:instrText xml:space="preserve"> PAGEREF _Toc8974 \h </w:instrText>
      </w:r>
      <w:r>
        <w:fldChar w:fldCharType="separate"/>
      </w:r>
      <w:r>
        <w:t>35</w:t>
      </w:r>
      <w:r>
        <w:fldChar w:fldCharType="end"/>
      </w:r>
      <w:r>
        <w:rPr>
          <w:rFonts w:hint="eastAsia" w:cs="宋体"/>
        </w:rPr>
        <w:fldChar w:fldCharType="end"/>
      </w:r>
    </w:p>
    <w:p w14:paraId="3DC2AFCD">
      <w:pPr>
        <w:pStyle w:val="18"/>
        <w:tabs>
          <w:tab w:val="right" w:leader="dot" w:pos="8975"/>
        </w:tabs>
      </w:pPr>
      <w:r>
        <w:rPr>
          <w:rFonts w:hint="eastAsia" w:cs="宋体"/>
        </w:rPr>
        <w:fldChar w:fldCharType="begin"/>
      </w:r>
      <w:r>
        <w:rPr>
          <w:rFonts w:hint="eastAsia" w:cs="宋体"/>
        </w:rPr>
        <w:instrText xml:space="preserve"> HYPERLINK \l _Toc5761 </w:instrText>
      </w:r>
      <w:r>
        <w:rPr>
          <w:rFonts w:hint="eastAsia" w:cs="宋体"/>
        </w:rPr>
        <w:fldChar w:fldCharType="separate"/>
      </w:r>
      <w:r>
        <w:rPr>
          <w:rFonts w:hint="eastAsia"/>
          <w:bCs/>
        </w:rPr>
        <w:t>9.5验收流程</w:t>
      </w:r>
      <w:r>
        <w:tab/>
      </w:r>
      <w:r>
        <w:fldChar w:fldCharType="begin"/>
      </w:r>
      <w:r>
        <w:instrText xml:space="preserve"> PAGEREF _Toc5761 \h </w:instrText>
      </w:r>
      <w:r>
        <w:fldChar w:fldCharType="separate"/>
      </w:r>
      <w:r>
        <w:t>35</w:t>
      </w:r>
      <w:r>
        <w:fldChar w:fldCharType="end"/>
      </w:r>
      <w:r>
        <w:rPr>
          <w:rFonts w:hint="eastAsia" w:cs="宋体"/>
        </w:rPr>
        <w:fldChar w:fldCharType="end"/>
      </w:r>
    </w:p>
    <w:p w14:paraId="3BBF2358">
      <w:pPr>
        <w:pStyle w:val="18"/>
        <w:tabs>
          <w:tab w:val="right" w:leader="dot" w:pos="8975"/>
        </w:tabs>
      </w:pPr>
      <w:r>
        <w:rPr>
          <w:rFonts w:hint="eastAsia" w:cs="宋体"/>
        </w:rPr>
        <w:fldChar w:fldCharType="begin"/>
      </w:r>
      <w:r>
        <w:rPr>
          <w:rFonts w:hint="eastAsia" w:cs="宋体"/>
        </w:rPr>
        <w:instrText xml:space="preserve"> HYPERLINK \l _Toc26499 </w:instrText>
      </w:r>
      <w:r>
        <w:rPr>
          <w:rFonts w:hint="eastAsia" w:cs="宋体"/>
        </w:rPr>
        <w:fldChar w:fldCharType="separate"/>
      </w:r>
      <w:r>
        <w:rPr>
          <w:rFonts w:hint="eastAsia"/>
          <w:bCs/>
        </w:rPr>
        <w:t>9.6 时间节点</w:t>
      </w:r>
      <w:r>
        <w:tab/>
      </w:r>
      <w:r>
        <w:fldChar w:fldCharType="begin"/>
      </w:r>
      <w:r>
        <w:instrText xml:space="preserve"> PAGEREF _Toc26499 \h </w:instrText>
      </w:r>
      <w:r>
        <w:fldChar w:fldCharType="separate"/>
      </w:r>
      <w:r>
        <w:t>35</w:t>
      </w:r>
      <w:r>
        <w:fldChar w:fldCharType="end"/>
      </w:r>
      <w:r>
        <w:rPr>
          <w:rFonts w:hint="eastAsia" w:cs="宋体"/>
        </w:rPr>
        <w:fldChar w:fldCharType="end"/>
      </w:r>
    </w:p>
    <w:p w14:paraId="20111779">
      <w:pPr>
        <w:pStyle w:val="18"/>
        <w:tabs>
          <w:tab w:val="right" w:leader="dot" w:pos="8975"/>
        </w:tabs>
      </w:pPr>
      <w:r>
        <w:rPr>
          <w:rFonts w:hint="eastAsia" w:cs="宋体"/>
        </w:rPr>
        <w:fldChar w:fldCharType="begin"/>
      </w:r>
      <w:r>
        <w:rPr>
          <w:rFonts w:hint="eastAsia" w:cs="宋体"/>
        </w:rPr>
        <w:instrText xml:space="preserve"> HYPERLINK \l _Toc12447 </w:instrText>
      </w:r>
      <w:r>
        <w:rPr>
          <w:rFonts w:hint="eastAsia" w:cs="宋体"/>
        </w:rPr>
        <w:fldChar w:fldCharType="separate"/>
      </w:r>
      <w:r>
        <w:rPr>
          <w:rFonts w:hint="eastAsia"/>
          <w:bCs/>
        </w:rPr>
        <w:t>9.7不合格处理</w:t>
      </w:r>
      <w:r>
        <w:tab/>
      </w:r>
      <w:r>
        <w:fldChar w:fldCharType="begin"/>
      </w:r>
      <w:r>
        <w:instrText xml:space="preserve"> PAGEREF _Toc12447 \h </w:instrText>
      </w:r>
      <w:r>
        <w:fldChar w:fldCharType="separate"/>
      </w:r>
      <w:r>
        <w:t>35</w:t>
      </w:r>
      <w:r>
        <w:fldChar w:fldCharType="end"/>
      </w:r>
      <w:r>
        <w:rPr>
          <w:rFonts w:hint="eastAsia" w:cs="宋体"/>
        </w:rPr>
        <w:fldChar w:fldCharType="end"/>
      </w:r>
    </w:p>
    <w:p w14:paraId="0C5CBF30">
      <w:pPr>
        <w:pStyle w:val="18"/>
        <w:tabs>
          <w:tab w:val="right" w:leader="dot" w:pos="8975"/>
        </w:tabs>
      </w:pPr>
      <w:r>
        <w:rPr>
          <w:rFonts w:hint="eastAsia" w:cs="宋体"/>
        </w:rPr>
        <w:fldChar w:fldCharType="begin"/>
      </w:r>
      <w:r>
        <w:rPr>
          <w:rFonts w:hint="eastAsia" w:cs="宋体"/>
        </w:rPr>
        <w:instrText xml:space="preserve"> HYPERLINK \l _Toc9810 </w:instrText>
      </w:r>
      <w:r>
        <w:rPr>
          <w:rFonts w:hint="eastAsia" w:cs="宋体"/>
        </w:rPr>
        <w:fldChar w:fldCharType="separate"/>
      </w:r>
      <w:r>
        <w:rPr>
          <w:rFonts w:hint="eastAsia"/>
          <w:bCs/>
        </w:rPr>
        <w:t>9.8交付物</w:t>
      </w:r>
      <w:r>
        <w:tab/>
      </w:r>
      <w:r>
        <w:fldChar w:fldCharType="begin"/>
      </w:r>
      <w:r>
        <w:instrText xml:space="preserve"> PAGEREF _Toc9810 \h </w:instrText>
      </w:r>
      <w:r>
        <w:fldChar w:fldCharType="separate"/>
      </w:r>
      <w:r>
        <w:t>35</w:t>
      </w:r>
      <w:r>
        <w:fldChar w:fldCharType="end"/>
      </w:r>
      <w:r>
        <w:rPr>
          <w:rFonts w:hint="eastAsia" w:cs="宋体"/>
        </w:rPr>
        <w:fldChar w:fldCharType="end"/>
      </w:r>
    </w:p>
    <w:p w14:paraId="0D64DBAD">
      <w:pPr>
        <w:pStyle w:val="17"/>
        <w:tabs>
          <w:tab w:val="right" w:leader="dot" w:pos="8975"/>
        </w:tabs>
      </w:pPr>
      <w:r>
        <w:rPr>
          <w:rFonts w:hint="eastAsia" w:cs="宋体"/>
        </w:rPr>
        <w:fldChar w:fldCharType="begin"/>
      </w:r>
      <w:r>
        <w:rPr>
          <w:rFonts w:hint="eastAsia" w:cs="宋体"/>
        </w:rPr>
        <w:instrText xml:space="preserve"> HYPERLINK \l _Toc465 </w:instrText>
      </w:r>
      <w:r>
        <w:rPr>
          <w:rFonts w:hint="eastAsia" w:cs="宋体"/>
        </w:rPr>
        <w:fldChar w:fldCharType="separate"/>
      </w:r>
      <w:r>
        <w:rPr>
          <w:rFonts w:hint="eastAsia" w:ascii="黑体" w:hAnsi="黑体" w:eastAsia="黑体" w:cs="黑体"/>
          <w:bCs/>
          <w:kern w:val="2"/>
          <w:szCs w:val="32"/>
          <w:lang w:val="en-US" w:eastAsia="zh-CN"/>
        </w:rPr>
        <w:t>六</w:t>
      </w:r>
      <w:r>
        <w:rPr>
          <w:rFonts w:ascii="黑体" w:hAnsi="黑体" w:eastAsia="黑体" w:cs="黑体"/>
          <w:bCs/>
          <w:kern w:val="2"/>
          <w:szCs w:val="32"/>
        </w:rPr>
        <w:t>、</w:t>
      </w:r>
      <w:r>
        <w:rPr>
          <w:rFonts w:hint="eastAsia" w:ascii="黑体" w:hAnsi="黑体" w:eastAsia="黑体" w:cs="黑体"/>
          <w:bCs/>
          <w:kern w:val="2"/>
          <w:szCs w:val="32"/>
        </w:rPr>
        <w:t>质量保证</w:t>
      </w:r>
      <w:r>
        <w:tab/>
      </w:r>
      <w:r>
        <w:fldChar w:fldCharType="begin"/>
      </w:r>
      <w:r>
        <w:instrText xml:space="preserve"> PAGEREF _Toc465 \h </w:instrText>
      </w:r>
      <w:r>
        <w:fldChar w:fldCharType="separate"/>
      </w:r>
      <w:r>
        <w:t>36</w:t>
      </w:r>
      <w:r>
        <w:fldChar w:fldCharType="end"/>
      </w:r>
      <w:r>
        <w:rPr>
          <w:rFonts w:hint="eastAsia" w:cs="宋体"/>
        </w:rPr>
        <w:fldChar w:fldCharType="end"/>
      </w:r>
    </w:p>
    <w:p w14:paraId="2287D8F0">
      <w:pPr>
        <w:pStyle w:val="17"/>
        <w:tabs>
          <w:tab w:val="right" w:leader="dot" w:pos="8975"/>
        </w:tabs>
      </w:pPr>
      <w:r>
        <w:rPr>
          <w:rFonts w:hint="eastAsia" w:cs="宋体"/>
        </w:rPr>
        <w:fldChar w:fldCharType="begin"/>
      </w:r>
      <w:r>
        <w:rPr>
          <w:rFonts w:hint="eastAsia" w:cs="宋体"/>
        </w:rPr>
        <w:instrText xml:space="preserve"> HYPERLINK \l _Toc27262 </w:instrText>
      </w:r>
      <w:r>
        <w:rPr>
          <w:rFonts w:hint="eastAsia" w:cs="宋体"/>
        </w:rPr>
        <w:fldChar w:fldCharType="separate"/>
      </w:r>
      <w:r>
        <w:rPr>
          <w:rFonts w:hint="eastAsia" w:ascii="黑体" w:hAnsi="黑体" w:eastAsia="黑体" w:cs="黑体"/>
          <w:bCs/>
          <w:kern w:val="2"/>
          <w:szCs w:val="32"/>
          <w:lang w:val="en-US" w:eastAsia="zh-CN"/>
        </w:rPr>
        <w:t>七</w:t>
      </w:r>
      <w:r>
        <w:rPr>
          <w:rFonts w:hint="eastAsia" w:ascii="黑体" w:hAnsi="黑体" w:eastAsia="黑体" w:cs="黑体"/>
          <w:bCs/>
          <w:kern w:val="2"/>
          <w:szCs w:val="32"/>
        </w:rPr>
        <w:t>、其他</w:t>
      </w:r>
      <w:r>
        <w:tab/>
      </w:r>
      <w:r>
        <w:fldChar w:fldCharType="begin"/>
      </w:r>
      <w:r>
        <w:instrText xml:space="preserve"> PAGEREF _Toc27262 \h </w:instrText>
      </w:r>
      <w:r>
        <w:fldChar w:fldCharType="separate"/>
      </w:r>
      <w:r>
        <w:t>36</w:t>
      </w:r>
      <w:r>
        <w:fldChar w:fldCharType="end"/>
      </w:r>
      <w:r>
        <w:rPr>
          <w:rFonts w:hint="eastAsia" w:cs="宋体"/>
        </w:rPr>
        <w:fldChar w:fldCharType="end"/>
      </w:r>
    </w:p>
    <w:p w14:paraId="02946882">
      <w:pPr>
        <w:pStyle w:val="20"/>
        <w:tabs>
          <w:tab w:val="right" w:leader="dot" w:pos="8975"/>
        </w:tabs>
      </w:pPr>
      <w:r>
        <w:rPr>
          <w:rFonts w:hint="eastAsia" w:cs="宋体"/>
        </w:rPr>
        <w:fldChar w:fldCharType="begin"/>
      </w:r>
      <w:r>
        <w:rPr>
          <w:rFonts w:hint="eastAsia" w:cs="宋体"/>
        </w:rPr>
        <w:instrText xml:space="preserve"> HYPERLINK \l _Toc27690 </w:instrText>
      </w:r>
      <w:r>
        <w:rPr>
          <w:rFonts w:hint="eastAsia" w:cs="宋体"/>
        </w:rPr>
        <w:fldChar w:fldCharType="separate"/>
      </w:r>
      <w:r>
        <w:rPr>
          <w:rFonts w:hint="eastAsia" w:ascii="楷体_GB2312" w:hAnsi="楷体_GB2312" w:eastAsia="楷体_GB2312" w:cs="楷体_GB2312"/>
          <w:bCs/>
          <w:szCs w:val="32"/>
        </w:rPr>
        <w:t>（一）文档资料</w:t>
      </w:r>
      <w:r>
        <w:tab/>
      </w:r>
      <w:r>
        <w:fldChar w:fldCharType="begin"/>
      </w:r>
      <w:r>
        <w:instrText xml:space="preserve"> PAGEREF _Toc27690 \h </w:instrText>
      </w:r>
      <w:r>
        <w:fldChar w:fldCharType="separate"/>
      </w:r>
      <w:r>
        <w:t>36</w:t>
      </w:r>
      <w:r>
        <w:fldChar w:fldCharType="end"/>
      </w:r>
      <w:r>
        <w:rPr>
          <w:rFonts w:hint="eastAsia" w:cs="宋体"/>
        </w:rPr>
        <w:fldChar w:fldCharType="end"/>
      </w:r>
    </w:p>
    <w:p w14:paraId="604255A7">
      <w:pPr>
        <w:pStyle w:val="20"/>
        <w:tabs>
          <w:tab w:val="right" w:leader="dot" w:pos="8975"/>
        </w:tabs>
      </w:pPr>
      <w:r>
        <w:rPr>
          <w:rFonts w:hint="eastAsia" w:cs="宋体"/>
        </w:rPr>
        <w:fldChar w:fldCharType="begin"/>
      </w:r>
      <w:r>
        <w:rPr>
          <w:rFonts w:hint="eastAsia" w:cs="宋体"/>
        </w:rPr>
        <w:instrText xml:space="preserve"> HYPERLINK \l _Toc27773 </w:instrText>
      </w:r>
      <w:r>
        <w:rPr>
          <w:rFonts w:hint="eastAsia" w:cs="宋体"/>
        </w:rPr>
        <w:fldChar w:fldCharType="separate"/>
      </w:r>
      <w:r>
        <w:rPr>
          <w:rFonts w:hint="eastAsia" w:ascii="楷体_GB2312" w:hAnsi="楷体_GB2312" w:eastAsia="楷体_GB2312" w:cs="楷体_GB2312"/>
          <w:bCs/>
          <w:szCs w:val="32"/>
        </w:rPr>
        <w:t>（二）技术服务</w:t>
      </w:r>
      <w:r>
        <w:tab/>
      </w:r>
      <w:r>
        <w:fldChar w:fldCharType="begin"/>
      </w:r>
      <w:r>
        <w:instrText xml:space="preserve"> PAGEREF _Toc27773 \h </w:instrText>
      </w:r>
      <w:r>
        <w:fldChar w:fldCharType="separate"/>
      </w:r>
      <w:r>
        <w:t>37</w:t>
      </w:r>
      <w:r>
        <w:fldChar w:fldCharType="end"/>
      </w:r>
      <w:r>
        <w:rPr>
          <w:rFonts w:hint="eastAsia" w:cs="宋体"/>
        </w:rPr>
        <w:fldChar w:fldCharType="end"/>
      </w:r>
    </w:p>
    <w:p w14:paraId="6BD79864">
      <w:pPr>
        <w:pStyle w:val="20"/>
        <w:tabs>
          <w:tab w:val="right" w:leader="dot" w:pos="8975"/>
        </w:tabs>
      </w:pPr>
      <w:r>
        <w:rPr>
          <w:rFonts w:hint="eastAsia" w:cs="宋体"/>
        </w:rPr>
        <w:fldChar w:fldCharType="begin"/>
      </w:r>
      <w:r>
        <w:rPr>
          <w:rFonts w:hint="eastAsia" w:cs="宋体"/>
        </w:rPr>
        <w:instrText xml:space="preserve"> HYPERLINK \l _Toc29234 </w:instrText>
      </w:r>
      <w:r>
        <w:rPr>
          <w:rFonts w:hint="eastAsia" w:cs="宋体"/>
        </w:rPr>
        <w:fldChar w:fldCharType="separate"/>
      </w:r>
      <w:r>
        <w:rPr>
          <w:rFonts w:hint="eastAsia" w:ascii="楷体_GB2312" w:hAnsi="楷体_GB2312" w:eastAsia="楷体_GB2312" w:cs="楷体_GB2312"/>
          <w:bCs/>
          <w:szCs w:val="32"/>
        </w:rPr>
        <w:t>（三）培训服务</w:t>
      </w:r>
      <w:r>
        <w:tab/>
      </w:r>
      <w:r>
        <w:fldChar w:fldCharType="begin"/>
      </w:r>
      <w:r>
        <w:instrText xml:space="preserve"> PAGEREF _Toc29234 \h </w:instrText>
      </w:r>
      <w:r>
        <w:fldChar w:fldCharType="separate"/>
      </w:r>
      <w:r>
        <w:t>37</w:t>
      </w:r>
      <w:r>
        <w:fldChar w:fldCharType="end"/>
      </w:r>
      <w:r>
        <w:rPr>
          <w:rFonts w:hint="eastAsia" w:cs="宋体"/>
        </w:rPr>
        <w:fldChar w:fldCharType="end"/>
      </w:r>
    </w:p>
    <w:p w14:paraId="697B4790">
      <w:pPr>
        <w:pStyle w:val="20"/>
        <w:tabs>
          <w:tab w:val="right" w:leader="dot" w:pos="8975"/>
        </w:tabs>
      </w:pPr>
      <w:r>
        <w:rPr>
          <w:rFonts w:hint="eastAsia" w:cs="宋体"/>
        </w:rPr>
        <w:fldChar w:fldCharType="begin"/>
      </w:r>
      <w:r>
        <w:rPr>
          <w:rFonts w:hint="eastAsia" w:cs="宋体"/>
        </w:rPr>
        <w:instrText xml:space="preserve"> HYPERLINK \l _Toc18680 </w:instrText>
      </w:r>
      <w:r>
        <w:rPr>
          <w:rFonts w:hint="eastAsia" w:cs="宋体"/>
        </w:rPr>
        <w:fldChar w:fldCharType="separate"/>
      </w:r>
      <w:r>
        <w:rPr>
          <w:rFonts w:hint="eastAsia" w:ascii="楷体_GB2312" w:hAnsi="楷体_GB2312" w:eastAsia="楷体_GB2312" w:cs="楷体_GB2312"/>
          <w:bCs/>
          <w:szCs w:val="32"/>
        </w:rPr>
        <w:t>（四）产品交付</w:t>
      </w:r>
      <w:r>
        <w:tab/>
      </w:r>
      <w:r>
        <w:fldChar w:fldCharType="begin"/>
      </w:r>
      <w:r>
        <w:instrText xml:space="preserve"> PAGEREF _Toc18680 \h </w:instrText>
      </w:r>
      <w:r>
        <w:fldChar w:fldCharType="separate"/>
      </w:r>
      <w:r>
        <w:t>38</w:t>
      </w:r>
      <w:r>
        <w:fldChar w:fldCharType="end"/>
      </w:r>
      <w:r>
        <w:rPr>
          <w:rFonts w:hint="eastAsia" w:cs="宋体"/>
        </w:rPr>
        <w:fldChar w:fldCharType="end"/>
      </w:r>
    </w:p>
    <w:p w14:paraId="3424C71F">
      <w:pPr>
        <w:spacing w:line="560" w:lineRule="exact"/>
        <w:ind w:left="480" w:leftChars="200" w:firstLine="480"/>
        <w:rPr>
          <w:rFonts w:cs="宋体"/>
        </w:rPr>
      </w:pPr>
      <w:r>
        <w:rPr>
          <w:rFonts w:hint="eastAsia" w:cs="宋体"/>
        </w:rPr>
        <w:fldChar w:fldCharType="end"/>
      </w:r>
      <w:bookmarkStart w:id="0" w:name="_Toc24761"/>
      <w:bookmarkStart w:id="1" w:name="_Toc306870976"/>
      <w:bookmarkStart w:id="2" w:name="_Toc306856459"/>
      <w:bookmarkStart w:id="3" w:name="_Toc223595342"/>
      <w:bookmarkStart w:id="4" w:name="_Toc17239"/>
      <w:bookmarkStart w:id="5" w:name="_Toc5617"/>
      <w:bookmarkStart w:id="6" w:name="_Toc22668"/>
      <w:bookmarkStart w:id="7" w:name="_Toc320428479"/>
    </w:p>
    <w:p w14:paraId="01F7BF04">
      <w:pPr>
        <w:spacing w:line="560" w:lineRule="exact"/>
        <w:ind w:left="480" w:leftChars="200" w:firstLine="480"/>
        <w:rPr>
          <w:rFonts w:cs="宋体"/>
        </w:rPr>
      </w:pPr>
    </w:p>
    <w:p w14:paraId="1867AC43">
      <w:pPr>
        <w:spacing w:line="560" w:lineRule="exact"/>
        <w:ind w:left="480" w:leftChars="200" w:firstLine="480"/>
        <w:rPr>
          <w:rFonts w:cs="宋体"/>
        </w:rPr>
      </w:pPr>
    </w:p>
    <w:p w14:paraId="5C483578">
      <w:pPr>
        <w:spacing w:line="560" w:lineRule="exact"/>
        <w:ind w:left="480" w:leftChars="200" w:firstLine="480"/>
        <w:rPr>
          <w:rFonts w:cs="宋体"/>
        </w:rPr>
      </w:pPr>
    </w:p>
    <w:p w14:paraId="5938371A">
      <w:pPr>
        <w:spacing w:line="560" w:lineRule="exact"/>
        <w:ind w:left="480" w:leftChars="200" w:firstLine="640"/>
        <w:outlineLvl w:val="0"/>
        <w:rPr>
          <w:rFonts w:ascii="黑体" w:hAnsi="黑体" w:eastAsia="黑体" w:cs="黑体"/>
          <w:bCs/>
          <w:kern w:val="2"/>
          <w:sz w:val="32"/>
          <w:szCs w:val="32"/>
        </w:rPr>
      </w:pPr>
      <w:bookmarkStart w:id="8" w:name="_Toc18236"/>
      <w:bookmarkStart w:id="9" w:name="_Toc32520"/>
      <w:bookmarkStart w:id="10" w:name="_Toc27573"/>
      <w:bookmarkStart w:id="11" w:name="_Toc2147"/>
      <w:bookmarkStart w:id="12" w:name="_Toc18562"/>
      <w:bookmarkStart w:id="13" w:name="_Toc31683"/>
      <w:bookmarkStart w:id="14" w:name="_Toc24600"/>
    </w:p>
    <w:p w14:paraId="5CA6B99C">
      <w:pPr>
        <w:spacing w:line="560" w:lineRule="exact"/>
        <w:ind w:left="480" w:leftChars="200" w:firstLine="0" w:firstLineChars="0"/>
        <w:outlineLvl w:val="0"/>
        <w:rPr>
          <w:rFonts w:ascii="黑体" w:hAnsi="黑体" w:eastAsia="黑体" w:cs="黑体"/>
          <w:bCs/>
          <w:kern w:val="2"/>
          <w:sz w:val="32"/>
          <w:szCs w:val="32"/>
        </w:rPr>
        <w:sectPr>
          <w:headerReference r:id="rId7" w:type="first"/>
          <w:footerReference r:id="rId10" w:type="first"/>
          <w:headerReference r:id="rId5" w:type="default"/>
          <w:footerReference r:id="rId8" w:type="default"/>
          <w:headerReference r:id="rId6" w:type="even"/>
          <w:footerReference r:id="rId9" w:type="even"/>
          <w:pgSz w:w="11906" w:h="16838"/>
          <w:pgMar w:top="1527" w:right="1134" w:bottom="1440" w:left="1797" w:header="426" w:footer="280" w:gutter="0"/>
          <w:cols w:space="720" w:num="1"/>
          <w:titlePg/>
          <w:docGrid w:type="lines" w:linePitch="312" w:charSpace="0"/>
        </w:sectPr>
      </w:pPr>
    </w:p>
    <w:p w14:paraId="032B755C">
      <w:pPr>
        <w:spacing w:line="560" w:lineRule="exact"/>
        <w:ind w:left="480" w:leftChars="200" w:firstLine="0" w:firstLineChars="0"/>
        <w:outlineLvl w:val="0"/>
        <w:rPr>
          <w:rFonts w:ascii="黑体" w:hAnsi="黑体" w:eastAsia="黑体" w:cs="黑体"/>
          <w:b/>
          <w:kern w:val="2"/>
          <w:sz w:val="32"/>
          <w:szCs w:val="32"/>
        </w:rPr>
      </w:pPr>
      <w:bookmarkStart w:id="15" w:name="_Toc1593"/>
      <w:r>
        <w:rPr>
          <w:rFonts w:hint="eastAsia" w:ascii="黑体" w:hAnsi="黑体" w:eastAsia="黑体" w:cs="黑体"/>
          <w:bCs/>
          <w:kern w:val="2"/>
          <w:sz w:val="32"/>
          <w:szCs w:val="32"/>
        </w:rPr>
        <w:t>一、</w:t>
      </w:r>
      <w:bookmarkStart w:id="16" w:name="_Toc13841"/>
      <w:r>
        <w:rPr>
          <w:rFonts w:hint="eastAsia" w:ascii="黑体" w:hAnsi="黑体" w:eastAsia="黑体" w:cs="黑体"/>
          <w:bCs/>
          <w:kern w:val="2"/>
          <w:sz w:val="32"/>
          <w:szCs w:val="32"/>
        </w:rPr>
        <w:t>项目概况</w:t>
      </w:r>
      <w:bookmarkEnd w:id="8"/>
      <w:bookmarkEnd w:id="9"/>
      <w:bookmarkEnd w:id="10"/>
      <w:bookmarkEnd w:id="11"/>
      <w:bookmarkEnd w:id="12"/>
      <w:bookmarkEnd w:id="13"/>
      <w:bookmarkEnd w:id="14"/>
      <w:bookmarkEnd w:id="15"/>
      <w:bookmarkEnd w:id="16"/>
    </w:p>
    <w:p w14:paraId="3541FC2D">
      <w:pPr>
        <w:numPr>
          <w:ilvl w:val="0"/>
          <w:numId w:val="1"/>
        </w:numPr>
        <w:tabs>
          <w:tab w:val="right" w:leader="dot" w:pos="8720"/>
        </w:tabs>
        <w:adjustRightInd w:val="0"/>
        <w:snapToGrid w:val="0"/>
        <w:spacing w:line="560" w:lineRule="exact"/>
        <w:ind w:firstLine="643"/>
        <w:outlineLvl w:val="1"/>
        <w:rPr>
          <w:rFonts w:ascii="楷体_GB2312" w:hAnsi="楷体_GB2312" w:eastAsia="楷体_GB2312" w:cs="楷体_GB2312"/>
          <w:b/>
          <w:kern w:val="2"/>
          <w:sz w:val="32"/>
          <w:szCs w:val="32"/>
        </w:rPr>
      </w:pPr>
      <w:bookmarkStart w:id="17" w:name="_Toc14173"/>
      <w:bookmarkStart w:id="18" w:name="_Toc14859"/>
      <w:bookmarkStart w:id="19" w:name="_Toc26500"/>
      <w:bookmarkStart w:id="20" w:name="_Toc23621"/>
      <w:bookmarkStart w:id="21" w:name="_Toc6470"/>
      <w:bookmarkStart w:id="22" w:name="_Toc5006"/>
      <w:bookmarkStart w:id="23" w:name="_Toc4723"/>
      <w:bookmarkStart w:id="24" w:name="_Toc5447"/>
      <w:bookmarkStart w:id="25" w:name="_Toc7295"/>
      <w:bookmarkStart w:id="26" w:name="_Toc14435"/>
      <w:r>
        <w:rPr>
          <w:rFonts w:hint="eastAsia" w:ascii="楷体_GB2312" w:hAnsi="楷体_GB2312" w:eastAsia="楷体_GB2312" w:cs="楷体_GB2312"/>
          <w:b/>
          <w:kern w:val="2"/>
          <w:sz w:val="32"/>
          <w:szCs w:val="32"/>
        </w:rPr>
        <w:t>项目背景</w:t>
      </w:r>
      <w:bookmarkEnd w:id="17"/>
      <w:bookmarkEnd w:id="18"/>
      <w:bookmarkEnd w:id="19"/>
      <w:bookmarkEnd w:id="20"/>
      <w:bookmarkEnd w:id="21"/>
      <w:bookmarkEnd w:id="22"/>
      <w:bookmarkEnd w:id="23"/>
      <w:bookmarkEnd w:id="24"/>
      <w:bookmarkEnd w:id="25"/>
    </w:p>
    <w:p w14:paraId="3F741534">
      <w:pPr>
        <w:tabs>
          <w:tab w:val="right" w:leader="dot" w:pos="8720"/>
        </w:tabs>
        <w:adjustRightInd w:val="0"/>
        <w:snapToGrid w:val="0"/>
        <w:spacing w:before="156" w:beforeLines="50" w:line="360" w:lineRule="auto"/>
        <w:ind w:firstLine="480"/>
      </w:pPr>
      <w:r>
        <w:rPr>
          <w:rFonts w:hint="eastAsia"/>
        </w:rPr>
        <w:t>随着科技的发展和技术的进步，信息技术在设备管理的应用也不断提高，已被广泛应用于化工行业，我司在设备管理的信息应用上已经无法满足实际需求。为满足公司对设备管理专业化、统一化、智能化的要求，做好设备全生命周期管理，提高设备的利用率和管理效率，</w:t>
      </w:r>
      <w:r>
        <w:t>延长设备使用寿命，</w:t>
      </w:r>
      <w:r>
        <w:rPr>
          <w:rFonts w:hint="eastAsia"/>
        </w:rPr>
        <w:t>降低设备</w:t>
      </w:r>
      <w:r>
        <w:t>故障率</w:t>
      </w:r>
      <w:r>
        <w:rPr>
          <w:rFonts w:hint="eastAsia"/>
        </w:rPr>
        <w:t>，提高设备智能化</w:t>
      </w:r>
      <w:r>
        <w:t>检测和维修设备</w:t>
      </w:r>
      <w:r>
        <w:rPr>
          <w:rFonts w:hint="eastAsia"/>
        </w:rPr>
        <w:t>管理</w:t>
      </w:r>
      <w:r>
        <w:t>，减少损失。</w:t>
      </w:r>
    </w:p>
    <w:p w14:paraId="635E47FA">
      <w:pPr>
        <w:tabs>
          <w:tab w:val="right" w:leader="dot" w:pos="8720"/>
        </w:tabs>
        <w:adjustRightInd w:val="0"/>
        <w:snapToGrid w:val="0"/>
        <w:spacing w:before="156" w:beforeLines="50" w:line="360" w:lineRule="auto"/>
        <w:ind w:firstLine="480"/>
      </w:pPr>
      <w:r>
        <w:rPr>
          <w:rFonts w:hint="eastAsia"/>
        </w:rPr>
        <w:t>借助信息系统实现</w:t>
      </w:r>
      <w:r>
        <w:t>对设备进行分类、管理和统计</w:t>
      </w:r>
      <w:r>
        <w:rPr>
          <w:rFonts w:hint="eastAsia"/>
        </w:rPr>
        <w:t>，</w:t>
      </w:r>
      <w:r>
        <w:t>清晰了解设备的使用情况，及时发现和解决设备故障，提高设备的利用率</w:t>
      </w:r>
      <w:r>
        <w:rPr>
          <w:rFonts w:hint="eastAsia"/>
        </w:rPr>
        <w:t>，同时，利用信息系统实现</w:t>
      </w:r>
      <w:r>
        <w:t>对设备的使用情况进行数据分析，为企业提供决策支持。</w:t>
      </w:r>
    </w:p>
    <w:bookmarkEnd w:id="26"/>
    <w:p w14:paraId="32FC24BA">
      <w:pPr>
        <w:numPr>
          <w:ilvl w:val="0"/>
          <w:numId w:val="1"/>
        </w:numPr>
        <w:tabs>
          <w:tab w:val="right" w:leader="dot" w:pos="8720"/>
        </w:tabs>
        <w:adjustRightInd w:val="0"/>
        <w:snapToGrid w:val="0"/>
        <w:spacing w:line="560" w:lineRule="exact"/>
        <w:ind w:firstLine="643"/>
        <w:outlineLvl w:val="1"/>
        <w:rPr>
          <w:rFonts w:ascii="楷体_GB2312" w:hAnsi="楷体_GB2312" w:eastAsia="楷体_GB2312" w:cs="楷体_GB2312"/>
          <w:b/>
          <w:kern w:val="2"/>
          <w:sz w:val="32"/>
          <w:szCs w:val="32"/>
        </w:rPr>
      </w:pPr>
      <w:bookmarkStart w:id="27" w:name="_Toc16182"/>
      <w:bookmarkStart w:id="28" w:name="_Toc22924"/>
      <w:bookmarkStart w:id="29" w:name="_Toc7553"/>
      <w:bookmarkStart w:id="30" w:name="_Toc24140"/>
      <w:bookmarkStart w:id="31" w:name="_Toc806"/>
      <w:bookmarkStart w:id="32" w:name="_Toc24294"/>
      <w:bookmarkStart w:id="33" w:name="_Toc2945"/>
      <w:bookmarkStart w:id="34" w:name="_Toc1311"/>
      <w:r>
        <w:rPr>
          <w:rFonts w:hint="eastAsia" w:ascii="楷体_GB2312" w:hAnsi="楷体_GB2312" w:eastAsia="楷体_GB2312" w:cs="楷体_GB2312"/>
          <w:b/>
          <w:kern w:val="2"/>
          <w:sz w:val="32"/>
          <w:szCs w:val="32"/>
        </w:rPr>
        <w:t>建设目标</w:t>
      </w:r>
      <w:bookmarkEnd w:id="27"/>
      <w:bookmarkEnd w:id="28"/>
      <w:bookmarkEnd w:id="29"/>
      <w:bookmarkEnd w:id="30"/>
      <w:bookmarkEnd w:id="31"/>
      <w:bookmarkEnd w:id="32"/>
      <w:bookmarkEnd w:id="33"/>
      <w:r>
        <w:rPr>
          <w:rFonts w:hint="eastAsia" w:ascii="楷体_GB2312" w:hAnsi="楷体_GB2312" w:eastAsia="楷体_GB2312" w:cs="楷体_GB2312"/>
          <w:b/>
          <w:kern w:val="2"/>
          <w:sz w:val="32"/>
          <w:szCs w:val="32"/>
        </w:rPr>
        <w:t>及效果</w:t>
      </w:r>
      <w:bookmarkEnd w:id="34"/>
    </w:p>
    <w:p w14:paraId="0E19C46C">
      <w:pPr>
        <w:tabs>
          <w:tab w:val="right" w:leader="dot" w:pos="8720"/>
        </w:tabs>
        <w:adjustRightInd w:val="0"/>
        <w:snapToGrid w:val="0"/>
        <w:spacing w:before="156" w:beforeLines="50" w:line="360" w:lineRule="auto"/>
        <w:ind w:firstLine="480"/>
      </w:pPr>
      <w:r>
        <w:rPr>
          <w:rFonts w:hint="eastAsia"/>
        </w:rPr>
        <w:t>搭建设备管理系统平台，以设备体系为</w:t>
      </w:r>
      <w:r>
        <w:rPr>
          <w:rFonts w:hint="eastAsia" w:cs="宋体"/>
          <w:bCs/>
          <w:kern w:val="2"/>
          <w:szCs w:val="24"/>
        </w:rPr>
        <w:t>基础</w:t>
      </w:r>
      <w:r>
        <w:rPr>
          <w:rFonts w:hint="eastAsia"/>
        </w:rPr>
        <w:t>，分设备体系，设备前期管理、设备运行管理、设备处置管理等阶段，进行逐级管控，进而实现设备全生命周期管理。以设备全生命周期为线，结合设备部业务流程，减少日常重复工作，简易工作交由系统，</w:t>
      </w:r>
      <w:r>
        <w:rPr>
          <w:rFonts w:hint="eastAsia" w:cs="宋体"/>
          <w:bCs/>
          <w:kern w:val="2"/>
          <w:szCs w:val="24"/>
        </w:rPr>
        <w:t>以提高设备可靠性、保障生产连续为核心目标，帮助东南电化实现设备管理能力的提升，实现设备资产效益最大化，实现降本增效的战略目标。</w:t>
      </w:r>
    </w:p>
    <w:p w14:paraId="0D911657">
      <w:pPr>
        <w:tabs>
          <w:tab w:val="right" w:leader="dot" w:pos="8720"/>
        </w:tabs>
        <w:adjustRightInd w:val="0"/>
        <w:snapToGrid w:val="0"/>
        <w:spacing w:before="156" w:beforeLines="50" w:line="360" w:lineRule="auto"/>
        <w:ind w:firstLine="480"/>
        <w:rPr>
          <w:rFonts w:cs="宋体"/>
          <w:bCs/>
          <w:kern w:val="2"/>
          <w:szCs w:val="24"/>
        </w:rPr>
      </w:pPr>
      <w:r>
        <w:rPr>
          <w:rFonts w:hint="eastAsia" w:cs="宋体"/>
          <w:bCs/>
          <w:kern w:val="2"/>
          <w:szCs w:val="24"/>
        </w:rPr>
        <w:t>核心目标主要围绕以下几个方面：</w:t>
      </w:r>
    </w:p>
    <w:p w14:paraId="1212B670">
      <w:pPr>
        <w:numPr>
          <w:ilvl w:val="0"/>
          <w:numId w:val="2"/>
        </w:numPr>
        <w:tabs>
          <w:tab w:val="right" w:leader="dot" w:pos="8720"/>
        </w:tabs>
        <w:adjustRightInd w:val="0"/>
        <w:snapToGrid w:val="0"/>
        <w:spacing w:before="156" w:beforeLines="50" w:line="360" w:lineRule="auto"/>
        <w:ind w:firstLine="482"/>
        <w:rPr>
          <w:rFonts w:cs="宋体"/>
          <w:bCs/>
          <w:kern w:val="2"/>
          <w:szCs w:val="24"/>
        </w:rPr>
      </w:pPr>
      <w:r>
        <w:rPr>
          <w:rFonts w:hint="eastAsia" w:cs="宋体"/>
          <w:b/>
          <w:kern w:val="2"/>
          <w:szCs w:val="24"/>
        </w:rPr>
        <w:t>账实相符、档案详实</w:t>
      </w:r>
    </w:p>
    <w:p w14:paraId="72EDAE51">
      <w:pPr>
        <w:tabs>
          <w:tab w:val="right" w:leader="dot" w:pos="8720"/>
        </w:tabs>
        <w:adjustRightInd w:val="0"/>
        <w:snapToGrid w:val="0"/>
        <w:spacing w:before="156" w:beforeLines="50" w:line="360" w:lineRule="auto"/>
        <w:ind w:firstLine="480"/>
      </w:pPr>
      <w:r>
        <w:rPr>
          <w:rFonts w:hint="eastAsia"/>
        </w:rPr>
        <w:t>构建一个全面而细致的设备档案管理系统，详尽记录并展示设备从购入到报废的全生命周期信息，评估其健康状态与预估剩余使用寿命。</w:t>
      </w:r>
    </w:p>
    <w:p w14:paraId="23454C25">
      <w:pPr>
        <w:numPr>
          <w:ilvl w:val="0"/>
          <w:numId w:val="2"/>
        </w:numPr>
        <w:tabs>
          <w:tab w:val="right" w:leader="dot" w:pos="8720"/>
        </w:tabs>
        <w:adjustRightInd w:val="0"/>
        <w:snapToGrid w:val="0"/>
        <w:spacing w:before="156" w:beforeLines="50" w:line="360" w:lineRule="auto"/>
        <w:ind w:firstLine="482"/>
        <w:rPr>
          <w:rFonts w:cs="宋体"/>
          <w:b/>
          <w:kern w:val="2"/>
          <w:szCs w:val="24"/>
        </w:rPr>
      </w:pPr>
      <w:r>
        <w:rPr>
          <w:rFonts w:hint="eastAsia" w:cs="宋体"/>
          <w:b/>
          <w:kern w:val="2"/>
          <w:szCs w:val="24"/>
        </w:rPr>
        <w:t>智能运维、实用先进</w:t>
      </w:r>
    </w:p>
    <w:p w14:paraId="3486DE84">
      <w:pPr>
        <w:tabs>
          <w:tab w:val="right" w:leader="dot" w:pos="8720"/>
        </w:tabs>
        <w:adjustRightInd w:val="0"/>
        <w:snapToGrid w:val="0"/>
        <w:spacing w:before="156" w:beforeLines="50" w:line="360" w:lineRule="auto"/>
        <w:ind w:firstLine="480"/>
        <w:rPr>
          <w:rFonts w:cs="宋体"/>
          <w:bCs/>
          <w:kern w:val="2"/>
          <w:szCs w:val="24"/>
        </w:rPr>
      </w:pPr>
      <w:r>
        <w:rPr>
          <w:rFonts w:cs="宋体"/>
          <w:bCs/>
          <w:kern w:val="2"/>
          <w:szCs w:val="24"/>
        </w:rPr>
        <w:t>利用在线监测、故障预测等前沿技术，对设备问题早期识别。同时，对巡检、润滑、保养、维修等关键环节实施智能化闭环管理</w:t>
      </w:r>
    </w:p>
    <w:p w14:paraId="351334D6">
      <w:pPr>
        <w:tabs>
          <w:tab w:val="right" w:leader="dot" w:pos="8720"/>
        </w:tabs>
        <w:adjustRightInd w:val="0"/>
        <w:snapToGrid w:val="0"/>
        <w:spacing w:before="156" w:beforeLines="50" w:line="360" w:lineRule="auto"/>
        <w:ind w:firstLine="0" w:firstLineChars="0"/>
        <w:rPr>
          <w:rFonts w:cs="宋体"/>
          <w:bCs/>
          <w:kern w:val="2"/>
          <w:szCs w:val="24"/>
        </w:rPr>
      </w:pPr>
    </w:p>
    <w:p w14:paraId="3CDEC923">
      <w:pPr>
        <w:numPr>
          <w:ilvl w:val="0"/>
          <w:numId w:val="2"/>
        </w:numPr>
        <w:tabs>
          <w:tab w:val="right" w:leader="dot" w:pos="8720"/>
        </w:tabs>
        <w:adjustRightInd w:val="0"/>
        <w:snapToGrid w:val="0"/>
        <w:spacing w:before="156" w:beforeLines="50" w:line="360" w:lineRule="auto"/>
        <w:ind w:firstLine="482"/>
        <w:rPr>
          <w:rFonts w:cs="宋体"/>
          <w:b/>
          <w:kern w:val="2"/>
          <w:szCs w:val="24"/>
        </w:rPr>
      </w:pPr>
      <w:r>
        <w:rPr>
          <w:rFonts w:hint="eastAsia" w:cs="宋体"/>
          <w:b/>
          <w:kern w:val="2"/>
          <w:szCs w:val="24"/>
        </w:rPr>
        <w:t>专项管理、安全合规</w:t>
      </w:r>
    </w:p>
    <w:p w14:paraId="49D723EC">
      <w:pPr>
        <w:tabs>
          <w:tab w:val="right" w:leader="dot" w:pos="8720"/>
        </w:tabs>
        <w:adjustRightInd w:val="0"/>
        <w:snapToGrid w:val="0"/>
        <w:spacing w:before="156" w:beforeLines="50" w:line="360" w:lineRule="auto"/>
        <w:ind w:firstLine="480"/>
        <w:rPr>
          <w:rFonts w:cs="宋体"/>
          <w:bCs/>
          <w:kern w:val="2"/>
          <w:szCs w:val="24"/>
        </w:rPr>
      </w:pPr>
      <w:r>
        <w:rPr>
          <w:rFonts w:cs="宋体"/>
          <w:bCs/>
          <w:kern w:val="2"/>
          <w:szCs w:val="24"/>
        </w:rPr>
        <w:t>高度专业化的设备分类管理，采取差异化的管理措施。特别是特种设备与计量器具，须建立严格的定期检定机制，确保设备合规运行</w:t>
      </w:r>
    </w:p>
    <w:p w14:paraId="5D89F743">
      <w:pPr>
        <w:numPr>
          <w:ilvl w:val="0"/>
          <w:numId w:val="2"/>
        </w:numPr>
        <w:tabs>
          <w:tab w:val="right" w:leader="dot" w:pos="8720"/>
        </w:tabs>
        <w:adjustRightInd w:val="0"/>
        <w:snapToGrid w:val="0"/>
        <w:spacing w:before="156" w:beforeLines="50" w:line="360" w:lineRule="auto"/>
        <w:ind w:firstLine="482"/>
        <w:rPr>
          <w:rFonts w:cs="宋体"/>
          <w:b/>
          <w:kern w:val="2"/>
          <w:szCs w:val="24"/>
        </w:rPr>
      </w:pPr>
      <w:r>
        <w:rPr>
          <w:rFonts w:hint="eastAsia" w:cs="宋体"/>
          <w:b/>
          <w:kern w:val="2"/>
          <w:szCs w:val="24"/>
        </w:rPr>
        <w:t>业财一体、费用透明</w:t>
      </w:r>
    </w:p>
    <w:p w14:paraId="10DFC013">
      <w:pPr>
        <w:tabs>
          <w:tab w:val="right" w:leader="dot" w:pos="8720"/>
        </w:tabs>
        <w:adjustRightInd w:val="0"/>
        <w:snapToGrid w:val="0"/>
        <w:spacing w:before="156" w:beforeLines="50" w:line="360" w:lineRule="auto"/>
        <w:ind w:firstLine="480"/>
        <w:rPr>
          <w:rFonts w:cs="宋体"/>
          <w:bCs/>
          <w:kern w:val="2"/>
          <w:szCs w:val="24"/>
        </w:rPr>
      </w:pPr>
      <w:r>
        <w:rPr>
          <w:rFonts w:cs="宋体"/>
          <w:bCs/>
          <w:kern w:val="2"/>
          <w:szCs w:val="24"/>
        </w:rPr>
        <w:t>与</w:t>
      </w:r>
      <w:r>
        <w:rPr>
          <w:rFonts w:hint="eastAsia" w:cs="宋体"/>
          <w:bCs/>
          <w:kern w:val="2"/>
          <w:szCs w:val="24"/>
        </w:rPr>
        <w:t>能化集团</w:t>
      </w:r>
      <w:r>
        <w:rPr>
          <w:rFonts w:cs="宋体"/>
          <w:bCs/>
          <w:kern w:val="2"/>
          <w:szCs w:val="24"/>
        </w:rPr>
        <w:t>财务、供应链系统</w:t>
      </w:r>
      <w:r>
        <w:rPr>
          <w:rFonts w:hint="eastAsia" w:cs="宋体"/>
          <w:bCs/>
          <w:kern w:val="2"/>
          <w:szCs w:val="24"/>
        </w:rPr>
        <w:t>预留好标准接口，实现</w:t>
      </w:r>
      <w:r>
        <w:rPr>
          <w:rFonts w:cs="宋体"/>
          <w:bCs/>
          <w:kern w:val="2"/>
          <w:szCs w:val="24"/>
        </w:rPr>
        <w:t>深度集成，实现设备生命周期内运维费用、维修费用、备件费用等的全面追踪与透明化管理。</w:t>
      </w:r>
    </w:p>
    <w:p w14:paraId="72D8609B">
      <w:pPr>
        <w:numPr>
          <w:ilvl w:val="0"/>
          <w:numId w:val="2"/>
        </w:numPr>
        <w:tabs>
          <w:tab w:val="right" w:leader="dot" w:pos="8720"/>
        </w:tabs>
        <w:adjustRightInd w:val="0"/>
        <w:snapToGrid w:val="0"/>
        <w:spacing w:before="156" w:beforeLines="50" w:line="360" w:lineRule="auto"/>
        <w:ind w:firstLine="482"/>
        <w:rPr>
          <w:rFonts w:cs="宋体"/>
          <w:b/>
          <w:kern w:val="2"/>
          <w:szCs w:val="24"/>
        </w:rPr>
      </w:pPr>
      <w:r>
        <w:rPr>
          <w:rFonts w:hint="eastAsia" w:cs="宋体"/>
          <w:b/>
          <w:kern w:val="2"/>
          <w:szCs w:val="24"/>
        </w:rPr>
        <w:t>数值分析、科学决策</w:t>
      </w:r>
    </w:p>
    <w:p w14:paraId="71FF13FD">
      <w:pPr>
        <w:tabs>
          <w:tab w:val="right" w:leader="dot" w:pos="8720"/>
        </w:tabs>
        <w:adjustRightInd w:val="0"/>
        <w:snapToGrid w:val="0"/>
        <w:spacing w:before="156" w:beforeLines="50" w:line="360" w:lineRule="auto"/>
        <w:ind w:firstLine="480"/>
        <w:rPr>
          <w:rFonts w:cs="宋体"/>
          <w:bCs/>
          <w:kern w:val="2"/>
          <w:szCs w:val="24"/>
        </w:rPr>
      </w:pPr>
      <w:r>
        <w:rPr>
          <w:rFonts w:hint="eastAsia" w:cs="宋体"/>
          <w:bCs/>
          <w:kern w:val="2"/>
          <w:szCs w:val="24"/>
        </w:rPr>
        <w:t>充分利用新一代信息技术，为故障识别、分析、维修策略提供智能辅助。同时，对设备维修绩效、人员绩效、费用绩效进行全面深入的评估，便于决策。</w:t>
      </w:r>
    </w:p>
    <w:p w14:paraId="61AED083">
      <w:pPr>
        <w:spacing w:line="560" w:lineRule="exact"/>
        <w:ind w:left="480" w:leftChars="200" w:firstLine="0" w:firstLineChars="0"/>
        <w:outlineLvl w:val="0"/>
        <w:rPr>
          <w:rFonts w:hint="eastAsia" w:ascii="黑体" w:hAnsi="黑体" w:eastAsia="黑体" w:cs="黑体"/>
          <w:bCs/>
          <w:kern w:val="2"/>
          <w:sz w:val="32"/>
          <w:szCs w:val="32"/>
        </w:rPr>
      </w:pPr>
      <w:bookmarkStart w:id="35" w:name="_Toc25755"/>
      <w:bookmarkStart w:id="36" w:name="_Toc32616"/>
      <w:bookmarkStart w:id="37" w:name="_Toc1471"/>
      <w:bookmarkStart w:id="38" w:name="_Toc11887"/>
      <w:bookmarkStart w:id="39" w:name="_Toc16744"/>
      <w:bookmarkStart w:id="40" w:name="_Toc1230"/>
      <w:bookmarkStart w:id="41" w:name="_Toc14465"/>
      <w:bookmarkStart w:id="42" w:name="_Toc19042"/>
      <w:bookmarkStart w:id="43" w:name="_Toc20926"/>
      <w:r>
        <w:rPr>
          <w:rFonts w:hint="eastAsia" w:ascii="黑体" w:hAnsi="黑体" w:eastAsia="黑体" w:cs="黑体"/>
          <w:bCs/>
          <w:kern w:val="2"/>
          <w:sz w:val="32"/>
          <w:szCs w:val="32"/>
        </w:rPr>
        <w:t>二、</w:t>
      </w:r>
      <w:bookmarkEnd w:id="35"/>
      <w:bookmarkEnd w:id="36"/>
      <w:bookmarkEnd w:id="37"/>
      <w:bookmarkEnd w:id="38"/>
      <w:bookmarkEnd w:id="39"/>
      <w:bookmarkEnd w:id="40"/>
      <w:bookmarkEnd w:id="41"/>
      <w:bookmarkEnd w:id="42"/>
      <w:bookmarkStart w:id="44" w:name="_Toc4864"/>
      <w:bookmarkStart w:id="45" w:name="_Toc6520"/>
      <w:bookmarkStart w:id="46" w:name="_Toc32374"/>
      <w:bookmarkStart w:id="47" w:name="_Toc13581"/>
      <w:bookmarkStart w:id="48" w:name="_Toc9756"/>
      <w:bookmarkStart w:id="49" w:name="_Toc28715"/>
      <w:bookmarkStart w:id="50" w:name="_Toc19209"/>
      <w:r>
        <w:rPr>
          <w:rFonts w:hint="eastAsia" w:ascii="黑体" w:hAnsi="黑体" w:eastAsia="黑体" w:cs="黑体"/>
          <w:bCs/>
          <w:kern w:val="2"/>
          <w:sz w:val="32"/>
          <w:szCs w:val="32"/>
        </w:rPr>
        <w:t>设备管理系统功能范围</w:t>
      </w:r>
      <w:bookmarkEnd w:id="43"/>
      <w:bookmarkEnd w:id="44"/>
      <w:bookmarkEnd w:id="45"/>
      <w:bookmarkEnd w:id="46"/>
      <w:bookmarkEnd w:id="47"/>
      <w:bookmarkEnd w:id="48"/>
      <w:bookmarkEnd w:id="49"/>
      <w:bookmarkEnd w:id="50"/>
    </w:p>
    <w:p w14:paraId="0A821852">
      <w:pPr>
        <w:spacing w:line="360" w:lineRule="auto"/>
        <w:ind w:firstLine="480"/>
        <w:rPr>
          <w:rFonts w:cs="宋体"/>
          <w:bCs/>
          <w:kern w:val="2"/>
          <w:szCs w:val="24"/>
        </w:rPr>
      </w:pPr>
      <w:r>
        <w:rPr>
          <w:rFonts w:hint="eastAsia" w:cs="宋体"/>
          <w:bCs/>
          <w:kern w:val="2"/>
          <w:szCs w:val="24"/>
        </w:rPr>
        <w:t>1、资产管理（提供资产从验收后建立资产台账、到日常业务变动，调拨，盘点，直到报废处置的全生命周期的过程管理）。</w:t>
      </w:r>
    </w:p>
    <w:p w14:paraId="3BEBB664">
      <w:pPr>
        <w:spacing w:line="360" w:lineRule="auto"/>
        <w:ind w:firstLine="480"/>
        <w:rPr>
          <w:rFonts w:cs="宋体"/>
          <w:bCs/>
          <w:kern w:val="2"/>
          <w:szCs w:val="24"/>
        </w:rPr>
      </w:pPr>
      <w:r>
        <w:rPr>
          <w:rFonts w:hint="eastAsia" w:cs="宋体"/>
          <w:bCs/>
          <w:kern w:val="2"/>
          <w:szCs w:val="24"/>
        </w:rPr>
        <w:t>2、设备管理：（提供设备资产的运行、维护与维修业务进行全过程管理，包括日常点巡检、润滑作业、故障缺陷，周期性维护，计划维修，紧急维修等场景进行管理）。</w:t>
      </w:r>
    </w:p>
    <w:p w14:paraId="5CC0E16F">
      <w:pPr>
        <w:spacing w:line="360" w:lineRule="auto"/>
        <w:ind w:firstLine="480"/>
        <w:rPr>
          <w:rFonts w:cs="宋体"/>
          <w:bCs/>
          <w:kern w:val="2"/>
          <w:szCs w:val="24"/>
        </w:rPr>
      </w:pPr>
      <w:r>
        <w:rPr>
          <w:rFonts w:hint="eastAsia" w:cs="宋体"/>
          <w:bCs/>
          <w:kern w:val="2"/>
          <w:szCs w:val="24"/>
        </w:rPr>
        <w:t>3、专项管理：（对特种设备和计量器具类设备建立专项台账，并对其周期性的强制性检验、检定与校准过程进行管理）</w:t>
      </w:r>
    </w:p>
    <w:p w14:paraId="6E95479F">
      <w:pPr>
        <w:spacing w:line="360" w:lineRule="auto"/>
        <w:ind w:firstLine="480"/>
        <w:rPr>
          <w:rFonts w:cs="宋体"/>
          <w:bCs/>
          <w:kern w:val="2"/>
          <w:szCs w:val="24"/>
        </w:rPr>
      </w:pPr>
      <w:r>
        <w:rPr>
          <w:rFonts w:hint="eastAsia" w:cs="宋体"/>
          <w:bCs/>
          <w:kern w:val="2"/>
          <w:szCs w:val="24"/>
        </w:rPr>
        <w:t>4、</w:t>
      </w:r>
      <w:r>
        <w:rPr>
          <w:rFonts w:cs="宋体"/>
          <w:bCs/>
          <w:kern w:val="2"/>
          <w:szCs w:val="24"/>
        </w:rPr>
        <w:t>预测性维护</w:t>
      </w:r>
      <w:r>
        <w:rPr>
          <w:rFonts w:hint="eastAsia" w:cs="宋体"/>
          <w:bCs/>
          <w:kern w:val="2"/>
          <w:szCs w:val="24"/>
        </w:rPr>
        <w:t>：（以实时数据为基础，提供设备运行数据的实时监控与报警信息监控）。</w:t>
      </w:r>
    </w:p>
    <w:p w14:paraId="6FE998F8">
      <w:pPr>
        <w:spacing w:line="360" w:lineRule="auto"/>
        <w:ind w:firstLine="480"/>
        <w:rPr>
          <w:rFonts w:cs="宋体"/>
          <w:bCs/>
          <w:kern w:val="2"/>
          <w:szCs w:val="24"/>
        </w:rPr>
      </w:pPr>
      <w:r>
        <w:rPr>
          <w:rFonts w:hint="eastAsia" w:cs="宋体"/>
          <w:bCs/>
          <w:kern w:val="2"/>
          <w:szCs w:val="24"/>
        </w:rPr>
        <w:t>5、</w:t>
      </w:r>
      <w:r>
        <w:rPr>
          <w:rFonts w:cs="宋体"/>
          <w:bCs/>
          <w:kern w:val="2"/>
          <w:szCs w:val="24"/>
        </w:rPr>
        <w:t>资产分析</w:t>
      </w:r>
      <w:r>
        <w:rPr>
          <w:rFonts w:hint="eastAsia" w:cs="宋体"/>
          <w:bCs/>
          <w:kern w:val="2"/>
          <w:szCs w:val="24"/>
        </w:rPr>
        <w:t>：（以资产台账、业务历史数据为基础，提供资产全方位的分析看板、对资产运营状况进行分析，让资产数据产生价值。）</w:t>
      </w:r>
    </w:p>
    <w:p w14:paraId="6F9E45D2">
      <w:pPr>
        <w:spacing w:line="360" w:lineRule="auto"/>
        <w:ind w:firstLine="480"/>
        <w:rPr>
          <w:rFonts w:cs="宋体"/>
          <w:bCs/>
          <w:kern w:val="2"/>
          <w:szCs w:val="24"/>
        </w:rPr>
      </w:pPr>
      <w:r>
        <w:rPr>
          <w:rFonts w:hint="eastAsia" w:cs="宋体"/>
          <w:bCs/>
          <w:kern w:val="2"/>
          <w:szCs w:val="24"/>
        </w:rPr>
        <w:t>6、</w:t>
      </w:r>
      <w:r>
        <w:rPr>
          <w:rFonts w:cs="宋体"/>
          <w:bCs/>
          <w:kern w:val="2"/>
          <w:szCs w:val="24"/>
        </w:rPr>
        <w:t>资产现场作业</w:t>
      </w:r>
      <w:r>
        <w:rPr>
          <w:rFonts w:hint="eastAsia" w:cs="宋体"/>
          <w:bCs/>
          <w:kern w:val="2"/>
          <w:szCs w:val="24"/>
        </w:rPr>
        <w:t>：（提供资产管理移动端作业能力，重点对于点巡检、维修维护作业，润滑作业，故障上报等场景下移动端（包括PDA）作业的支持）</w:t>
      </w:r>
    </w:p>
    <w:p w14:paraId="25E98080">
      <w:pPr>
        <w:spacing w:line="360" w:lineRule="auto"/>
        <w:ind w:firstLine="480"/>
        <w:rPr>
          <w:rFonts w:hint="eastAsia" w:eastAsia="宋体" w:cs="宋体"/>
          <w:bCs/>
          <w:kern w:val="2"/>
          <w:szCs w:val="24"/>
          <w:lang w:eastAsia="zh-CN"/>
        </w:rPr>
      </w:pPr>
      <w:r>
        <w:rPr>
          <w:rFonts w:hint="eastAsia" w:cs="宋体"/>
          <w:bCs/>
          <w:kern w:val="2"/>
          <w:szCs w:val="24"/>
        </w:rPr>
        <w:t>7、</w:t>
      </w:r>
      <w:r>
        <w:rPr>
          <w:rFonts w:cs="宋体"/>
          <w:bCs/>
          <w:kern w:val="2"/>
          <w:szCs w:val="24"/>
        </w:rPr>
        <w:t>连接集成平台</w:t>
      </w:r>
      <w:r>
        <w:rPr>
          <w:rFonts w:hint="eastAsia" w:cs="宋体"/>
          <w:bCs/>
          <w:kern w:val="2"/>
          <w:szCs w:val="24"/>
        </w:rPr>
        <w:t>：（实现与集团财务/供应链系统、主数据管理平台、工智道、</w:t>
      </w:r>
      <w:r>
        <w:rPr>
          <w:rFonts w:cs="宋体"/>
          <w:bCs/>
          <w:kern w:val="2"/>
          <w:szCs w:val="24"/>
        </w:rPr>
        <w:t>MES</w:t>
      </w:r>
      <w:r>
        <w:rPr>
          <w:rFonts w:hint="eastAsia" w:cs="宋体"/>
          <w:bCs/>
          <w:kern w:val="2"/>
          <w:szCs w:val="24"/>
        </w:rPr>
        <w:t>系统、机泵状态监测系统、双预防应用等的集成连接）</w:t>
      </w:r>
      <w:r>
        <w:rPr>
          <w:rFonts w:hint="eastAsia" w:cs="宋体"/>
          <w:bCs/>
          <w:kern w:val="2"/>
          <w:szCs w:val="24"/>
          <w:lang w:eastAsia="zh-CN"/>
        </w:rPr>
        <w:t>。</w:t>
      </w:r>
    </w:p>
    <w:p w14:paraId="789F1B6B">
      <w:pPr>
        <w:spacing w:line="360" w:lineRule="auto"/>
        <w:ind w:firstLine="480"/>
        <w:rPr>
          <w:rFonts w:hint="default" w:eastAsia="宋体" w:cs="宋体"/>
          <w:b/>
          <w:bCs w:val="0"/>
          <w:kern w:val="2"/>
          <w:szCs w:val="24"/>
          <w:highlight w:val="none"/>
          <w:lang w:val="en-US" w:eastAsia="zh-CN"/>
        </w:rPr>
      </w:pPr>
      <w:r>
        <w:rPr>
          <w:rFonts w:hint="eastAsia" w:cs="宋体"/>
          <w:b/>
          <w:bCs w:val="0"/>
          <w:kern w:val="2"/>
          <w:szCs w:val="24"/>
          <w:highlight w:val="none"/>
          <w:lang w:val="en-US" w:eastAsia="zh-CN"/>
        </w:rPr>
        <w:t>8、相应低代码开发平台；系统内部的数据，模块内容，流程编辑，报表分析，图标制作等，在后续使用中，招标方应当可自主进行简易便捷编辑设立。</w:t>
      </w:r>
    </w:p>
    <w:p w14:paraId="09F3880B">
      <w:pPr>
        <w:ind w:firstLine="482"/>
        <w:rPr>
          <w:rFonts w:cs="宋体"/>
          <w:b/>
          <w:kern w:val="2"/>
          <w:szCs w:val="21"/>
          <w:highlight w:val="none"/>
        </w:rPr>
      </w:pPr>
      <w:r>
        <w:rPr>
          <w:rFonts w:hint="eastAsia"/>
          <w:b/>
          <w:bCs/>
          <w:highlight w:val="none"/>
          <w:lang w:val="en-US" w:eastAsia="zh-CN"/>
        </w:rPr>
        <w:t>9</w:t>
      </w:r>
      <w:r>
        <w:rPr>
          <w:rFonts w:hint="eastAsia"/>
          <w:b/>
          <w:bCs/>
          <w:highlight w:val="none"/>
        </w:rPr>
        <w:t>、软件产品应为自主可控应用软件系统，提供软件产品著作权。</w:t>
      </w:r>
    </w:p>
    <w:p w14:paraId="5EB6C3CB">
      <w:pPr>
        <w:spacing w:line="560" w:lineRule="exact"/>
        <w:ind w:left="480" w:leftChars="200" w:firstLine="0" w:firstLineChars="0"/>
        <w:outlineLvl w:val="0"/>
        <w:rPr>
          <w:rFonts w:ascii="黑体" w:hAnsi="黑体" w:eastAsia="黑体" w:cs="黑体"/>
          <w:bCs/>
          <w:kern w:val="2"/>
          <w:sz w:val="32"/>
          <w:szCs w:val="32"/>
        </w:rPr>
      </w:pPr>
      <w:bookmarkStart w:id="51" w:name="_Toc1269"/>
      <w:bookmarkStart w:id="52" w:name="_Toc21220"/>
      <w:bookmarkStart w:id="53" w:name="_Toc30396"/>
      <w:bookmarkStart w:id="54" w:name="_Toc28392"/>
      <w:bookmarkStart w:id="55" w:name="_Toc14368"/>
      <w:bookmarkStart w:id="56" w:name="_Toc11122"/>
      <w:bookmarkStart w:id="57" w:name="_Toc25480"/>
      <w:bookmarkStart w:id="58" w:name="_Toc32219"/>
      <w:bookmarkStart w:id="59" w:name="_Toc8769"/>
      <w:r>
        <w:rPr>
          <w:rFonts w:hint="eastAsia" w:ascii="黑体" w:hAnsi="黑体" w:eastAsia="黑体" w:cs="黑体"/>
          <w:bCs/>
          <w:kern w:val="2"/>
          <w:sz w:val="32"/>
          <w:szCs w:val="32"/>
        </w:rPr>
        <w:t>三、遵循规范及标准</w:t>
      </w:r>
      <w:bookmarkEnd w:id="51"/>
      <w:bookmarkEnd w:id="52"/>
      <w:bookmarkEnd w:id="53"/>
      <w:bookmarkEnd w:id="54"/>
      <w:bookmarkEnd w:id="55"/>
      <w:bookmarkEnd w:id="56"/>
      <w:bookmarkEnd w:id="57"/>
      <w:bookmarkEnd w:id="58"/>
      <w:bookmarkEnd w:id="59"/>
    </w:p>
    <w:p w14:paraId="24822C9F">
      <w:pPr>
        <w:tabs>
          <w:tab w:val="right" w:leader="dot" w:pos="8720"/>
        </w:tabs>
        <w:adjustRightInd w:val="0"/>
        <w:snapToGrid w:val="0"/>
        <w:spacing w:line="360" w:lineRule="auto"/>
        <w:ind w:firstLine="480"/>
        <w:rPr>
          <w:rFonts w:cs="宋体"/>
          <w:bCs/>
          <w:kern w:val="2"/>
          <w:szCs w:val="24"/>
          <w:highlight w:val="none"/>
        </w:rPr>
      </w:pPr>
      <w:r>
        <w:rPr>
          <w:rFonts w:hint="eastAsia" w:cs="宋体"/>
          <w:bCs/>
          <w:kern w:val="2"/>
          <w:szCs w:val="24"/>
        </w:rPr>
        <w:t>软件系统应遵循当前业界认可的、先进的技术思想和国际标准,尤其是要遵循国家电子政务相关标准规范。同时，在项目实施过程中需根据需求建立完整的标准规范体系并落</w:t>
      </w:r>
      <w:r>
        <w:rPr>
          <w:rFonts w:hint="eastAsia" w:cs="宋体"/>
          <w:bCs/>
          <w:kern w:val="2"/>
          <w:szCs w:val="24"/>
          <w:highlight w:val="none"/>
        </w:rPr>
        <w:t>实执行，充分体现标准化和规范化。</w:t>
      </w:r>
    </w:p>
    <w:p w14:paraId="0E7F36D9">
      <w:pPr>
        <w:tabs>
          <w:tab w:val="right" w:leader="dot" w:pos="8720"/>
        </w:tabs>
        <w:adjustRightInd w:val="0"/>
        <w:snapToGrid w:val="0"/>
        <w:spacing w:line="360" w:lineRule="auto"/>
        <w:ind w:firstLine="480"/>
        <w:rPr>
          <w:rFonts w:cs="宋体"/>
          <w:bCs/>
          <w:kern w:val="2"/>
          <w:szCs w:val="24"/>
          <w:highlight w:val="none"/>
        </w:rPr>
      </w:pPr>
      <w:r>
        <w:rPr>
          <w:rFonts w:hint="eastAsia" w:cs="宋体"/>
          <w:bCs/>
          <w:kern w:val="2"/>
          <w:szCs w:val="24"/>
          <w:highlight w:val="none"/>
        </w:rPr>
        <w:t>投标人需依据化工过程安全管理导则（AQ\T3034-2022）、</w:t>
      </w:r>
      <w:r>
        <w:rPr>
          <w:rFonts w:cs="宋体"/>
          <w:bCs/>
          <w:kern w:val="2"/>
          <w:szCs w:val="24"/>
          <w:highlight w:val="none"/>
        </w:rPr>
        <w:t>44692.1-2024《危险化学品企业设备完整性 第1部分：管理体系要求》</w:t>
      </w:r>
      <w:r>
        <w:rPr>
          <w:rFonts w:hint="eastAsia" w:cs="宋体"/>
          <w:bCs/>
          <w:kern w:val="2"/>
          <w:szCs w:val="24"/>
          <w:highlight w:val="none"/>
        </w:rPr>
        <w:t xml:space="preserve">、GB44692.2-2024《危险化学品企业设备完好性 第2部分：技术实施指南》、关于印发《“工业互联网+危化安全生产”工艺生产报警优化管理系统建设应用指南 （试行）》等5项指南的通知等相关要求，协助招标人补充完善在设备管理体系中涉及内容，如相关制度、规程、档案、台账，设备管理等。 </w:t>
      </w:r>
    </w:p>
    <w:p w14:paraId="4C02B820">
      <w:pPr>
        <w:tabs>
          <w:tab w:val="right" w:leader="dot" w:pos="8720"/>
        </w:tabs>
        <w:adjustRightInd w:val="0"/>
        <w:snapToGrid w:val="0"/>
        <w:spacing w:line="360" w:lineRule="auto"/>
        <w:ind w:firstLine="480"/>
        <w:rPr>
          <w:rFonts w:cs="宋体"/>
          <w:bCs/>
          <w:kern w:val="2"/>
          <w:szCs w:val="24"/>
          <w:highlight w:val="none"/>
        </w:rPr>
      </w:pPr>
      <w:r>
        <w:rPr>
          <w:rFonts w:hint="eastAsia" w:cs="宋体"/>
          <w:bCs/>
          <w:kern w:val="2"/>
          <w:szCs w:val="24"/>
        </w:rPr>
        <w:t>本项</w:t>
      </w:r>
      <w:r>
        <w:rPr>
          <w:rFonts w:hint="eastAsia" w:cs="宋体"/>
          <w:bCs/>
          <w:kern w:val="2"/>
          <w:szCs w:val="24"/>
          <w:highlight w:val="none"/>
        </w:rPr>
        <w:t>目设计、实施及验收等所涉及的技术标准和规范都必须符合中华人民共和国技术标准和规范以及地方及国际上的有关技术标准和规范。相关规范如下（但不限于）：</w:t>
      </w:r>
    </w:p>
    <w:p w14:paraId="0A55E567">
      <w:pPr>
        <w:numPr>
          <w:ilvl w:val="0"/>
          <w:numId w:val="3"/>
        </w:numPr>
        <w:tabs>
          <w:tab w:val="right" w:leader="dot" w:pos="8720"/>
        </w:tabs>
        <w:adjustRightInd w:val="0"/>
        <w:snapToGrid w:val="0"/>
        <w:spacing w:line="360" w:lineRule="auto"/>
        <w:ind w:firstLine="643"/>
        <w:outlineLvl w:val="1"/>
        <w:rPr>
          <w:rFonts w:ascii="楷体_GB2312" w:hAnsi="楷体_GB2312" w:eastAsia="楷体_GB2312" w:cs="楷体_GB2312"/>
          <w:b/>
          <w:kern w:val="2"/>
          <w:sz w:val="32"/>
          <w:szCs w:val="32"/>
          <w:highlight w:val="none"/>
        </w:rPr>
      </w:pPr>
      <w:bookmarkStart w:id="60" w:name="_Toc187847146"/>
      <w:bookmarkStart w:id="61" w:name="_Toc192250682"/>
      <w:bookmarkStart w:id="62" w:name="_Toc198017514"/>
      <w:bookmarkStart w:id="63" w:name="_Toc20547"/>
      <w:r>
        <w:rPr>
          <w:rFonts w:hint="eastAsia" w:ascii="楷体_GB2312" w:hAnsi="楷体_GB2312" w:eastAsia="楷体_GB2312" w:cs="楷体_GB2312"/>
          <w:b/>
          <w:kern w:val="2"/>
          <w:sz w:val="32"/>
          <w:szCs w:val="32"/>
          <w:highlight w:val="none"/>
        </w:rPr>
        <w:t>设备管理国家规范与标准</w:t>
      </w:r>
      <w:bookmarkEnd w:id="60"/>
      <w:bookmarkEnd w:id="61"/>
      <w:bookmarkEnd w:id="62"/>
      <w:bookmarkEnd w:id="63"/>
    </w:p>
    <w:p w14:paraId="1C4E4CA1">
      <w:pPr>
        <w:tabs>
          <w:tab w:val="right" w:leader="dot" w:pos="8720"/>
        </w:tabs>
        <w:adjustRightInd w:val="0"/>
        <w:snapToGrid w:val="0"/>
        <w:spacing w:line="360" w:lineRule="auto"/>
        <w:ind w:firstLine="480"/>
        <w:rPr>
          <w:rFonts w:cs="宋体"/>
          <w:bCs/>
          <w:kern w:val="2"/>
          <w:szCs w:val="24"/>
          <w:highlight w:val="none"/>
        </w:rPr>
      </w:pPr>
      <w:r>
        <w:rPr>
          <w:rFonts w:hint="eastAsia" w:cs="宋体"/>
          <w:bCs/>
          <w:kern w:val="2"/>
          <w:szCs w:val="24"/>
          <w:highlight w:val="none"/>
        </w:rPr>
        <w:t>AQ/T3034-2022 《化工过程安全管理导则》</w:t>
      </w:r>
    </w:p>
    <w:p w14:paraId="02DE7669">
      <w:pPr>
        <w:tabs>
          <w:tab w:val="right" w:leader="dot" w:pos="8720"/>
        </w:tabs>
        <w:adjustRightInd w:val="0"/>
        <w:snapToGrid w:val="0"/>
        <w:spacing w:line="360" w:lineRule="auto"/>
        <w:ind w:firstLine="480"/>
        <w:rPr>
          <w:rFonts w:cs="宋体"/>
          <w:bCs/>
          <w:kern w:val="2"/>
          <w:szCs w:val="24"/>
          <w:highlight w:val="none"/>
        </w:rPr>
      </w:pPr>
      <w:r>
        <w:rPr>
          <w:rFonts w:hint="eastAsia" w:cs="宋体"/>
          <w:bCs/>
          <w:kern w:val="2"/>
          <w:szCs w:val="24"/>
          <w:highlight w:val="none"/>
        </w:rPr>
        <w:t>GB44692.1-2024《危险化学品企业设备完好性 第1部分：管理体系要求》</w:t>
      </w:r>
    </w:p>
    <w:p w14:paraId="2B715D48">
      <w:pPr>
        <w:tabs>
          <w:tab w:val="right" w:leader="dot" w:pos="8720"/>
        </w:tabs>
        <w:adjustRightInd w:val="0"/>
        <w:snapToGrid w:val="0"/>
        <w:spacing w:line="360" w:lineRule="auto"/>
        <w:ind w:firstLine="480"/>
        <w:rPr>
          <w:rFonts w:cs="宋体"/>
          <w:bCs/>
          <w:kern w:val="2"/>
          <w:szCs w:val="24"/>
          <w:highlight w:val="none"/>
        </w:rPr>
      </w:pPr>
      <w:r>
        <w:rPr>
          <w:rFonts w:hint="eastAsia" w:cs="宋体"/>
          <w:bCs/>
          <w:kern w:val="2"/>
          <w:szCs w:val="24"/>
          <w:highlight w:val="none"/>
        </w:rPr>
        <w:t>GB44692.2-2024《危险化学品企业设备完好性 第2部分：技术实施指南》</w:t>
      </w:r>
    </w:p>
    <w:p w14:paraId="37146368">
      <w:pPr>
        <w:tabs>
          <w:tab w:val="right" w:leader="dot" w:pos="8720"/>
        </w:tabs>
        <w:adjustRightInd w:val="0"/>
        <w:snapToGrid w:val="0"/>
        <w:spacing w:line="360" w:lineRule="auto"/>
        <w:ind w:firstLine="480"/>
        <w:rPr>
          <w:rFonts w:cs="宋体"/>
          <w:bCs/>
          <w:kern w:val="2"/>
          <w:szCs w:val="24"/>
          <w:highlight w:val="none"/>
        </w:rPr>
      </w:pPr>
      <w:r>
        <w:rPr>
          <w:rFonts w:hint="eastAsia" w:cs="宋体"/>
          <w:bCs/>
          <w:kern w:val="2"/>
          <w:szCs w:val="24"/>
          <w:highlight w:val="none"/>
        </w:rPr>
        <w:t>关于印发《“工业互联网+危化安全生产”工艺生产报警优化管理系统建设应用指南 （试行）》等5项指南的通知</w:t>
      </w:r>
    </w:p>
    <w:p w14:paraId="24366BDE">
      <w:pPr>
        <w:numPr>
          <w:ilvl w:val="0"/>
          <w:numId w:val="3"/>
        </w:numPr>
        <w:tabs>
          <w:tab w:val="right" w:leader="dot" w:pos="8720"/>
        </w:tabs>
        <w:adjustRightInd w:val="0"/>
        <w:snapToGrid w:val="0"/>
        <w:spacing w:line="360" w:lineRule="auto"/>
        <w:ind w:firstLine="643"/>
        <w:outlineLvl w:val="1"/>
        <w:rPr>
          <w:rFonts w:ascii="楷体_GB2312" w:hAnsi="楷体_GB2312" w:eastAsia="楷体_GB2312" w:cs="楷体_GB2312"/>
          <w:b/>
          <w:kern w:val="2"/>
          <w:sz w:val="32"/>
          <w:szCs w:val="32"/>
          <w:highlight w:val="none"/>
        </w:rPr>
      </w:pPr>
      <w:bookmarkStart w:id="64" w:name="_Toc192250683"/>
      <w:bookmarkStart w:id="65" w:name="_Toc198017515"/>
      <w:bookmarkStart w:id="66" w:name="_Toc187847147"/>
      <w:bookmarkStart w:id="67" w:name="_Toc28355"/>
      <w:r>
        <w:rPr>
          <w:rFonts w:hint="eastAsia" w:ascii="楷体_GB2312" w:hAnsi="楷体_GB2312" w:eastAsia="楷体_GB2312" w:cs="楷体_GB2312"/>
          <w:b/>
          <w:kern w:val="2"/>
          <w:sz w:val="32"/>
          <w:szCs w:val="32"/>
          <w:highlight w:val="none"/>
        </w:rPr>
        <w:t>信息系统软件设计制造标准</w:t>
      </w:r>
      <w:bookmarkEnd w:id="64"/>
      <w:bookmarkEnd w:id="65"/>
      <w:bookmarkEnd w:id="66"/>
      <w:bookmarkEnd w:id="67"/>
    </w:p>
    <w:p w14:paraId="56D4EA61">
      <w:pPr>
        <w:spacing w:line="360" w:lineRule="auto"/>
        <w:ind w:firstLine="480"/>
        <w:rPr>
          <w:highlight w:val="none"/>
        </w:rPr>
      </w:pPr>
      <w:r>
        <w:rPr>
          <w:rFonts w:hint="eastAsia"/>
          <w:highlight w:val="none"/>
        </w:rPr>
        <w:t>GB/T13423-1992</w:t>
      </w:r>
      <w:r>
        <w:rPr>
          <w:rFonts w:hint="eastAsia"/>
          <w:highlight w:val="none"/>
        </w:rPr>
        <w:tab/>
      </w:r>
      <w:r>
        <w:rPr>
          <w:rFonts w:hint="eastAsia"/>
          <w:highlight w:val="none"/>
        </w:rPr>
        <w:t>《工业控制软件评定准则》</w:t>
      </w:r>
    </w:p>
    <w:p w14:paraId="4130770F">
      <w:pPr>
        <w:spacing w:line="360" w:lineRule="auto"/>
        <w:ind w:firstLine="480"/>
        <w:rPr>
          <w:highlight w:val="none"/>
        </w:rPr>
      </w:pPr>
      <w:r>
        <w:rPr>
          <w:rFonts w:hint="eastAsia"/>
          <w:highlight w:val="none"/>
        </w:rPr>
        <w:t xml:space="preserve">GB 8567 </w:t>
      </w:r>
      <w:r>
        <w:rPr>
          <w:rFonts w:hint="eastAsia"/>
          <w:highlight w:val="none"/>
        </w:rPr>
        <w:tab/>
      </w:r>
      <w:r>
        <w:rPr>
          <w:rFonts w:hint="eastAsia"/>
          <w:highlight w:val="none"/>
        </w:rPr>
        <w:tab/>
      </w:r>
      <w:r>
        <w:rPr>
          <w:rFonts w:hint="eastAsia"/>
          <w:highlight w:val="none"/>
        </w:rPr>
        <w:tab/>
      </w:r>
      <w:r>
        <w:rPr>
          <w:rFonts w:hint="eastAsia"/>
          <w:highlight w:val="none"/>
        </w:rPr>
        <w:t>《计算机软件产品开发文件编制指南》</w:t>
      </w:r>
    </w:p>
    <w:p w14:paraId="7B5462E5">
      <w:pPr>
        <w:spacing w:line="360" w:lineRule="auto"/>
        <w:ind w:firstLine="480"/>
        <w:rPr>
          <w:highlight w:val="none"/>
        </w:rPr>
      </w:pPr>
      <w:r>
        <w:rPr>
          <w:rFonts w:hint="eastAsia"/>
          <w:highlight w:val="none"/>
        </w:rPr>
        <w:t xml:space="preserve">GBT12504-90 </w:t>
      </w:r>
      <w:r>
        <w:rPr>
          <w:rFonts w:hint="eastAsia"/>
          <w:highlight w:val="none"/>
        </w:rPr>
        <w:tab/>
      </w:r>
      <w:r>
        <w:rPr>
          <w:rFonts w:hint="eastAsia"/>
          <w:highlight w:val="none"/>
        </w:rPr>
        <w:tab/>
      </w:r>
      <w:r>
        <w:rPr>
          <w:rFonts w:hint="eastAsia"/>
          <w:highlight w:val="none"/>
        </w:rPr>
        <w:t>《计算机软件质量保证计划规范》</w:t>
      </w:r>
    </w:p>
    <w:p w14:paraId="6F62F355">
      <w:pPr>
        <w:spacing w:line="360" w:lineRule="auto"/>
        <w:ind w:firstLine="480"/>
        <w:rPr>
          <w:highlight w:val="none"/>
        </w:rPr>
      </w:pPr>
      <w:r>
        <w:rPr>
          <w:rFonts w:hint="eastAsia"/>
          <w:highlight w:val="none"/>
        </w:rPr>
        <w:t>GB/T 17544－1998</w:t>
      </w:r>
      <w:r>
        <w:rPr>
          <w:rFonts w:hint="eastAsia"/>
          <w:highlight w:val="none"/>
        </w:rPr>
        <w:tab/>
      </w:r>
      <w:r>
        <w:rPr>
          <w:rFonts w:hint="eastAsia"/>
          <w:highlight w:val="none"/>
        </w:rPr>
        <w:t>《信息技术软件包质量要求和测试》</w:t>
      </w:r>
    </w:p>
    <w:p w14:paraId="421E05BB">
      <w:pPr>
        <w:spacing w:line="360" w:lineRule="auto"/>
        <w:ind w:firstLine="480"/>
        <w:rPr>
          <w:highlight w:val="none"/>
        </w:rPr>
      </w:pPr>
      <w:r>
        <w:rPr>
          <w:rFonts w:hint="eastAsia"/>
          <w:highlight w:val="none"/>
        </w:rPr>
        <w:t xml:space="preserve">GB/Z18729-2002  </w:t>
      </w:r>
      <w:r>
        <w:rPr>
          <w:rFonts w:hint="eastAsia"/>
          <w:highlight w:val="none"/>
        </w:rPr>
        <w:tab/>
      </w:r>
      <w:r>
        <w:rPr>
          <w:rFonts w:hint="eastAsia"/>
          <w:highlight w:val="none"/>
        </w:rPr>
        <w:t>《基于网络的企业信息集成规范》</w:t>
      </w:r>
    </w:p>
    <w:p w14:paraId="14CEA889">
      <w:pPr>
        <w:spacing w:line="360" w:lineRule="auto"/>
        <w:ind w:firstLine="480"/>
        <w:rPr>
          <w:highlight w:val="none"/>
        </w:rPr>
      </w:pPr>
      <w:r>
        <w:rPr>
          <w:rFonts w:hint="eastAsia"/>
          <w:highlight w:val="none"/>
        </w:rPr>
        <w:t xml:space="preserve">GB50174-2017 </w:t>
      </w:r>
      <w:r>
        <w:rPr>
          <w:rFonts w:hint="eastAsia"/>
          <w:highlight w:val="none"/>
        </w:rPr>
        <w:tab/>
      </w:r>
      <w:r>
        <w:rPr>
          <w:rFonts w:hint="eastAsia"/>
          <w:highlight w:val="none"/>
        </w:rPr>
        <w:tab/>
      </w:r>
      <w:r>
        <w:rPr>
          <w:rFonts w:hint="eastAsia"/>
          <w:highlight w:val="none"/>
        </w:rPr>
        <w:t>《数据中心设计规范》</w:t>
      </w:r>
    </w:p>
    <w:p w14:paraId="57243BD4">
      <w:pPr>
        <w:spacing w:line="360" w:lineRule="auto"/>
        <w:ind w:firstLine="480"/>
        <w:rPr>
          <w:highlight w:val="none"/>
        </w:rPr>
      </w:pPr>
      <w:r>
        <w:rPr>
          <w:rFonts w:hint="eastAsia"/>
          <w:highlight w:val="none"/>
        </w:rPr>
        <w:t>GB/T13702</w:t>
      </w:r>
      <w:r>
        <w:rPr>
          <w:rFonts w:hint="eastAsia"/>
          <w:highlight w:val="none"/>
        </w:rPr>
        <w:tab/>
      </w:r>
      <w:r>
        <w:rPr>
          <w:rFonts w:hint="eastAsia"/>
          <w:highlight w:val="none"/>
        </w:rPr>
        <w:tab/>
      </w:r>
      <w:r>
        <w:rPr>
          <w:rFonts w:hint="eastAsia"/>
          <w:highlight w:val="none"/>
        </w:rPr>
        <w:tab/>
      </w:r>
      <w:r>
        <w:rPr>
          <w:rFonts w:hint="eastAsia"/>
          <w:highlight w:val="none"/>
        </w:rPr>
        <w:t>《计算机软件分类与代码》</w:t>
      </w:r>
    </w:p>
    <w:p w14:paraId="2418065D">
      <w:pPr>
        <w:numPr>
          <w:ilvl w:val="0"/>
          <w:numId w:val="3"/>
        </w:numPr>
        <w:tabs>
          <w:tab w:val="right" w:leader="dot" w:pos="8720"/>
        </w:tabs>
        <w:adjustRightInd w:val="0"/>
        <w:snapToGrid w:val="0"/>
        <w:spacing w:line="360" w:lineRule="auto"/>
        <w:ind w:firstLine="643"/>
        <w:outlineLvl w:val="1"/>
        <w:rPr>
          <w:rFonts w:ascii="楷体_GB2312" w:hAnsi="楷体_GB2312" w:eastAsia="楷体_GB2312" w:cs="楷体_GB2312"/>
          <w:b/>
          <w:kern w:val="2"/>
          <w:sz w:val="32"/>
          <w:szCs w:val="32"/>
          <w:highlight w:val="none"/>
        </w:rPr>
      </w:pPr>
      <w:bookmarkStart w:id="68" w:name="_Toc192250684"/>
      <w:bookmarkStart w:id="69" w:name="_Toc198017516"/>
      <w:bookmarkStart w:id="70" w:name="_Toc187847148"/>
      <w:bookmarkStart w:id="71" w:name="_Toc17486"/>
      <w:r>
        <w:rPr>
          <w:rFonts w:hint="eastAsia" w:ascii="楷体_GB2312" w:hAnsi="楷体_GB2312" w:eastAsia="楷体_GB2312" w:cs="楷体_GB2312"/>
          <w:b/>
          <w:kern w:val="2"/>
          <w:sz w:val="32"/>
          <w:szCs w:val="32"/>
          <w:highlight w:val="none"/>
        </w:rPr>
        <w:t>安全标准规范</w:t>
      </w:r>
      <w:bookmarkEnd w:id="68"/>
      <w:bookmarkEnd w:id="69"/>
      <w:bookmarkEnd w:id="70"/>
      <w:bookmarkEnd w:id="71"/>
    </w:p>
    <w:p w14:paraId="48B8E92A">
      <w:pPr>
        <w:spacing w:line="360" w:lineRule="auto"/>
        <w:ind w:firstLine="480"/>
        <w:rPr>
          <w:highlight w:val="none"/>
        </w:rPr>
      </w:pPr>
      <w:r>
        <w:rPr>
          <w:rFonts w:hint="eastAsia"/>
          <w:highlight w:val="none"/>
        </w:rPr>
        <w:t>ISO7498-2</w:t>
      </w:r>
      <w:r>
        <w:rPr>
          <w:rFonts w:hint="eastAsia"/>
          <w:highlight w:val="none"/>
        </w:rPr>
        <w:tab/>
      </w:r>
      <w:r>
        <w:rPr>
          <w:rFonts w:hint="eastAsia"/>
          <w:highlight w:val="none"/>
        </w:rPr>
        <w:tab/>
      </w:r>
      <w:r>
        <w:rPr>
          <w:rFonts w:hint="eastAsia"/>
          <w:highlight w:val="none"/>
        </w:rPr>
        <w:tab/>
      </w:r>
      <w:r>
        <w:rPr>
          <w:rFonts w:hint="eastAsia"/>
          <w:highlight w:val="none"/>
        </w:rPr>
        <w:t xml:space="preserve">  《安全体系结构》</w:t>
      </w:r>
    </w:p>
    <w:p w14:paraId="78D5BFC1">
      <w:pPr>
        <w:spacing w:line="360" w:lineRule="auto"/>
        <w:ind w:firstLine="480"/>
        <w:rPr>
          <w:highlight w:val="none"/>
        </w:rPr>
      </w:pPr>
      <w:r>
        <w:rPr>
          <w:rFonts w:hint="eastAsia"/>
          <w:highlight w:val="none"/>
        </w:rPr>
        <w:t>ISO 15408 (GB/T18336)《信息技术安全性评估准则》</w:t>
      </w:r>
    </w:p>
    <w:p w14:paraId="3B2A449A">
      <w:pPr>
        <w:spacing w:line="360" w:lineRule="auto"/>
        <w:ind w:firstLine="480"/>
        <w:rPr>
          <w:highlight w:val="none"/>
        </w:rPr>
      </w:pPr>
      <w:r>
        <w:rPr>
          <w:rFonts w:hint="eastAsia"/>
          <w:highlight w:val="none"/>
        </w:rPr>
        <w:t>GB 17859-1999</w:t>
      </w:r>
      <w:r>
        <w:rPr>
          <w:rFonts w:hint="eastAsia"/>
          <w:highlight w:val="none"/>
        </w:rPr>
        <w:tab/>
      </w:r>
      <w:r>
        <w:rPr>
          <w:rFonts w:hint="eastAsia"/>
          <w:highlight w:val="none"/>
        </w:rPr>
        <w:tab/>
      </w:r>
      <w:r>
        <w:rPr>
          <w:rFonts w:hint="eastAsia"/>
          <w:highlight w:val="none"/>
        </w:rPr>
        <w:t xml:space="preserve">  《计算机信息系统安全保护等级划分准则》</w:t>
      </w:r>
    </w:p>
    <w:p w14:paraId="07A108AA">
      <w:pPr>
        <w:spacing w:line="360" w:lineRule="auto"/>
        <w:ind w:firstLine="480"/>
        <w:rPr>
          <w:highlight w:val="none"/>
        </w:rPr>
      </w:pPr>
      <w:r>
        <w:rPr>
          <w:rFonts w:hint="eastAsia"/>
          <w:highlight w:val="none"/>
        </w:rPr>
        <w:t>GB/T15629.3</w:t>
      </w:r>
      <w:r>
        <w:rPr>
          <w:rFonts w:hint="eastAsia"/>
          <w:highlight w:val="none"/>
        </w:rPr>
        <w:tab/>
      </w:r>
      <w:r>
        <w:rPr>
          <w:rFonts w:hint="eastAsia"/>
          <w:highlight w:val="none"/>
        </w:rPr>
        <w:tab/>
      </w:r>
      <w:r>
        <w:rPr>
          <w:rFonts w:hint="eastAsia"/>
          <w:highlight w:val="none"/>
        </w:rPr>
        <w:t xml:space="preserve">  《中华人民共和国计算机信息安全保护条例》</w:t>
      </w:r>
    </w:p>
    <w:p w14:paraId="7FDE413F">
      <w:pPr>
        <w:tabs>
          <w:tab w:val="right" w:leader="dot" w:pos="8720"/>
        </w:tabs>
        <w:adjustRightInd w:val="0"/>
        <w:snapToGrid w:val="0"/>
        <w:spacing w:line="360" w:lineRule="auto"/>
        <w:ind w:firstLine="480"/>
        <w:rPr>
          <w:rFonts w:cs="宋体"/>
          <w:bCs/>
          <w:kern w:val="2"/>
          <w:szCs w:val="24"/>
          <w:highlight w:val="none"/>
        </w:rPr>
      </w:pPr>
      <w:r>
        <w:rPr>
          <w:rFonts w:hint="eastAsia" w:cs="宋体"/>
          <w:bCs/>
          <w:kern w:val="2"/>
          <w:szCs w:val="24"/>
          <w:highlight w:val="none"/>
        </w:rPr>
        <w:t>标准和规范的冲突处理：</w:t>
      </w:r>
    </w:p>
    <w:p w14:paraId="0C7A05ED">
      <w:pPr>
        <w:tabs>
          <w:tab w:val="right" w:leader="dot" w:pos="8720"/>
        </w:tabs>
        <w:adjustRightInd w:val="0"/>
        <w:snapToGrid w:val="0"/>
        <w:spacing w:line="360" w:lineRule="auto"/>
        <w:ind w:firstLine="480"/>
        <w:rPr>
          <w:rFonts w:cs="宋体"/>
          <w:bCs/>
          <w:kern w:val="2"/>
          <w:szCs w:val="24"/>
        </w:rPr>
      </w:pPr>
      <w:r>
        <w:rPr>
          <w:rFonts w:hint="eastAsia" w:cs="宋体"/>
          <w:bCs/>
          <w:kern w:val="2"/>
          <w:szCs w:val="24"/>
        </w:rPr>
        <w:t>（1）标准、规范之间发生冲突：采用要求最为严格的标准、规范。</w:t>
      </w:r>
    </w:p>
    <w:p w14:paraId="40420846">
      <w:pPr>
        <w:tabs>
          <w:tab w:val="right" w:leader="dot" w:pos="8720"/>
        </w:tabs>
        <w:adjustRightInd w:val="0"/>
        <w:snapToGrid w:val="0"/>
        <w:spacing w:line="360" w:lineRule="auto"/>
        <w:ind w:firstLine="480"/>
        <w:rPr>
          <w:rFonts w:cs="宋体"/>
          <w:bCs/>
          <w:kern w:val="2"/>
          <w:szCs w:val="24"/>
        </w:rPr>
      </w:pPr>
      <w:r>
        <w:rPr>
          <w:rFonts w:hint="eastAsia" w:cs="宋体"/>
          <w:bCs/>
          <w:kern w:val="2"/>
          <w:szCs w:val="24"/>
        </w:rPr>
        <w:t>（2）标准、规范及本技术规范书要求之间发生冲突：采用其中最为严格的要求。</w:t>
      </w:r>
    </w:p>
    <w:p w14:paraId="40444197">
      <w:pPr>
        <w:tabs>
          <w:tab w:val="right" w:leader="dot" w:pos="8720"/>
        </w:tabs>
        <w:adjustRightInd w:val="0"/>
        <w:snapToGrid w:val="0"/>
        <w:spacing w:line="360" w:lineRule="auto"/>
        <w:ind w:firstLine="480"/>
        <w:rPr>
          <w:rFonts w:cs="宋体"/>
          <w:bCs/>
          <w:kern w:val="2"/>
          <w:szCs w:val="24"/>
        </w:rPr>
      </w:pPr>
      <w:r>
        <w:rPr>
          <w:rFonts w:hint="eastAsia" w:cs="宋体"/>
          <w:bCs/>
          <w:kern w:val="2"/>
          <w:szCs w:val="24"/>
        </w:rPr>
        <w:t>（3）如果投标方所提供的产品不符合相应的标准和规范，招标方有权要求改正，由此发生的一切费用和延误由投标方自行承担。</w:t>
      </w:r>
    </w:p>
    <w:p w14:paraId="159527BB">
      <w:pPr>
        <w:tabs>
          <w:tab w:val="right" w:leader="dot" w:pos="8720"/>
        </w:tabs>
        <w:adjustRightInd w:val="0"/>
        <w:snapToGrid w:val="0"/>
        <w:spacing w:line="360" w:lineRule="auto"/>
        <w:ind w:firstLine="480"/>
        <w:rPr>
          <w:rFonts w:cs="宋体"/>
          <w:bCs/>
          <w:kern w:val="2"/>
          <w:szCs w:val="24"/>
        </w:rPr>
      </w:pPr>
      <w:r>
        <w:rPr>
          <w:rFonts w:hint="eastAsia" w:cs="宋体"/>
          <w:bCs/>
          <w:kern w:val="2"/>
          <w:szCs w:val="24"/>
        </w:rPr>
        <w:t>（4）技术规范书中涉及的所有规范和标准均应采用国家或者行业现行最新版本。</w:t>
      </w:r>
    </w:p>
    <w:p w14:paraId="1621FDAA">
      <w:pPr>
        <w:spacing w:line="560" w:lineRule="exact"/>
        <w:ind w:left="480" w:leftChars="200" w:firstLine="0" w:firstLineChars="0"/>
        <w:outlineLvl w:val="0"/>
        <w:rPr>
          <w:rFonts w:ascii="黑体" w:hAnsi="黑体" w:eastAsia="黑体" w:cs="黑体"/>
          <w:bCs/>
          <w:kern w:val="2"/>
          <w:sz w:val="32"/>
          <w:szCs w:val="32"/>
        </w:rPr>
      </w:pPr>
      <w:bookmarkStart w:id="72" w:name="_Toc6650"/>
      <w:bookmarkStart w:id="73" w:name="_Toc13953"/>
      <w:bookmarkStart w:id="74" w:name="_Toc30279"/>
      <w:bookmarkStart w:id="75" w:name="_Toc7832"/>
      <w:bookmarkStart w:id="76" w:name="_Toc14317"/>
      <w:bookmarkStart w:id="77" w:name="_Toc1084"/>
      <w:bookmarkStart w:id="78" w:name="_Toc7309"/>
      <w:bookmarkStart w:id="79" w:name="_Toc18663"/>
      <w:bookmarkStart w:id="80" w:name="_Toc18206"/>
      <w:r>
        <w:rPr>
          <w:rFonts w:hint="eastAsia" w:ascii="黑体" w:hAnsi="黑体" w:eastAsia="黑体" w:cs="黑体"/>
          <w:bCs/>
          <w:kern w:val="2"/>
          <w:sz w:val="32"/>
          <w:szCs w:val="32"/>
          <w:lang w:val="en-US" w:eastAsia="zh-CN"/>
        </w:rPr>
        <w:t>四</w:t>
      </w:r>
      <w:r>
        <w:rPr>
          <w:rFonts w:hint="eastAsia" w:ascii="黑体" w:hAnsi="黑体" w:eastAsia="黑体" w:cs="黑体"/>
          <w:bCs/>
          <w:kern w:val="2"/>
          <w:sz w:val="32"/>
          <w:szCs w:val="32"/>
        </w:rPr>
        <w:t>、项目建设原则</w:t>
      </w:r>
      <w:bookmarkEnd w:id="72"/>
      <w:bookmarkEnd w:id="73"/>
      <w:bookmarkEnd w:id="74"/>
      <w:bookmarkEnd w:id="75"/>
      <w:bookmarkEnd w:id="76"/>
      <w:bookmarkEnd w:id="77"/>
      <w:bookmarkEnd w:id="78"/>
      <w:bookmarkEnd w:id="79"/>
      <w:bookmarkEnd w:id="80"/>
    </w:p>
    <w:p w14:paraId="310D163C">
      <w:pPr>
        <w:tabs>
          <w:tab w:val="right" w:leader="dot" w:pos="8720"/>
        </w:tabs>
        <w:adjustRightInd w:val="0"/>
        <w:snapToGrid w:val="0"/>
        <w:spacing w:before="156" w:beforeLines="50" w:line="360" w:lineRule="auto"/>
        <w:ind w:firstLine="480"/>
        <w:rPr>
          <w:rFonts w:cs="宋体"/>
          <w:bCs/>
          <w:kern w:val="2"/>
          <w:szCs w:val="24"/>
        </w:rPr>
      </w:pPr>
      <w:r>
        <w:rPr>
          <w:rFonts w:hint="eastAsia" w:cs="宋体"/>
          <w:bCs/>
          <w:kern w:val="2"/>
          <w:szCs w:val="24"/>
        </w:rPr>
        <w:t>设备管理系统应具有良好的系统构架，项目建设原则要符合：统一设计原则、实用性原则、技术先进性原则、规范及标准化原则、开放性与可扩展性原则、经济实效原则、稳定性和可靠性原则和简捷易用性原则。发挥数据业务价值为目标导向，整体规划、分步实施。</w:t>
      </w:r>
    </w:p>
    <w:p w14:paraId="5E1ACD78">
      <w:pPr>
        <w:numPr>
          <w:ilvl w:val="0"/>
          <w:numId w:val="4"/>
        </w:numPr>
        <w:tabs>
          <w:tab w:val="right" w:leader="dot" w:pos="8720"/>
        </w:tabs>
        <w:adjustRightInd w:val="0"/>
        <w:snapToGrid w:val="0"/>
        <w:spacing w:line="560" w:lineRule="exact"/>
        <w:ind w:firstLineChars="0"/>
        <w:outlineLvl w:val="1"/>
        <w:rPr>
          <w:rFonts w:ascii="楷体_GB2312" w:hAnsi="楷体_GB2312" w:eastAsia="楷体_GB2312" w:cs="楷体_GB2312"/>
          <w:b/>
          <w:kern w:val="2"/>
          <w:sz w:val="32"/>
          <w:szCs w:val="32"/>
        </w:rPr>
      </w:pPr>
      <w:bookmarkStart w:id="81" w:name="_Toc2811"/>
      <w:bookmarkStart w:id="82" w:name="_Toc19395"/>
      <w:bookmarkStart w:id="83" w:name="_Toc373"/>
      <w:bookmarkStart w:id="84" w:name="_Toc6846"/>
      <w:bookmarkStart w:id="85" w:name="_Toc32310"/>
      <w:bookmarkStart w:id="86" w:name="_Toc31816"/>
      <w:bookmarkStart w:id="87" w:name="_Toc6590"/>
      <w:bookmarkStart w:id="88" w:name="_Toc498"/>
      <w:bookmarkStart w:id="89" w:name="_Toc17975"/>
      <w:r>
        <w:rPr>
          <w:rFonts w:hint="eastAsia" w:ascii="楷体_GB2312" w:hAnsi="楷体_GB2312" w:eastAsia="楷体_GB2312" w:cs="楷体_GB2312"/>
          <w:b/>
          <w:kern w:val="2"/>
          <w:sz w:val="32"/>
          <w:szCs w:val="32"/>
        </w:rPr>
        <w:t>统一设计原则</w:t>
      </w:r>
      <w:bookmarkEnd w:id="81"/>
      <w:bookmarkEnd w:id="82"/>
      <w:bookmarkEnd w:id="83"/>
      <w:bookmarkEnd w:id="84"/>
      <w:bookmarkEnd w:id="85"/>
      <w:bookmarkEnd w:id="86"/>
      <w:bookmarkEnd w:id="87"/>
      <w:bookmarkEnd w:id="88"/>
      <w:bookmarkEnd w:id="89"/>
    </w:p>
    <w:p w14:paraId="45494DFC">
      <w:pPr>
        <w:tabs>
          <w:tab w:val="right" w:leader="dot" w:pos="8720"/>
        </w:tabs>
        <w:adjustRightInd w:val="0"/>
        <w:snapToGrid w:val="0"/>
        <w:spacing w:before="156" w:beforeLines="50" w:line="360" w:lineRule="auto"/>
        <w:ind w:firstLine="480"/>
        <w:rPr>
          <w:rFonts w:cs="宋体"/>
          <w:bCs/>
          <w:kern w:val="2"/>
          <w:szCs w:val="24"/>
        </w:rPr>
      </w:pPr>
      <w:r>
        <w:rPr>
          <w:rFonts w:hint="eastAsia" w:cs="宋体"/>
          <w:bCs/>
          <w:kern w:val="2"/>
          <w:szCs w:val="24"/>
        </w:rPr>
        <w:t>项目建设应统筹规划、统一设计，保证整个系统结构的统一和数据的一致，是非常重要的，因此在系统设计过程中坚持统一设计原则，从全局出发、从长远考虑。</w:t>
      </w:r>
    </w:p>
    <w:p w14:paraId="28418AC6">
      <w:pPr>
        <w:numPr>
          <w:ilvl w:val="0"/>
          <w:numId w:val="4"/>
        </w:numPr>
        <w:tabs>
          <w:tab w:val="right" w:leader="dot" w:pos="8720"/>
        </w:tabs>
        <w:adjustRightInd w:val="0"/>
        <w:snapToGrid w:val="0"/>
        <w:spacing w:line="560" w:lineRule="exact"/>
        <w:ind w:firstLineChars="0"/>
        <w:outlineLvl w:val="1"/>
        <w:rPr>
          <w:rFonts w:ascii="楷体_GB2312" w:hAnsi="楷体_GB2312" w:eastAsia="楷体_GB2312" w:cs="楷体_GB2312"/>
          <w:b/>
          <w:kern w:val="2"/>
          <w:sz w:val="32"/>
          <w:szCs w:val="32"/>
        </w:rPr>
      </w:pPr>
      <w:bookmarkStart w:id="90" w:name="_Toc26719"/>
      <w:bookmarkStart w:id="91" w:name="_Toc20980"/>
      <w:bookmarkStart w:id="92" w:name="_Toc19098"/>
      <w:bookmarkStart w:id="93" w:name="_Toc1115"/>
      <w:bookmarkStart w:id="94" w:name="_Toc13409"/>
      <w:bookmarkStart w:id="95" w:name="_Toc12264"/>
      <w:bookmarkStart w:id="96" w:name="_Toc1040"/>
      <w:bookmarkStart w:id="97" w:name="_Toc19721"/>
      <w:bookmarkStart w:id="98" w:name="_Toc18094"/>
      <w:r>
        <w:rPr>
          <w:rFonts w:hint="eastAsia" w:ascii="楷体_GB2312" w:hAnsi="楷体_GB2312" w:eastAsia="楷体_GB2312" w:cs="楷体_GB2312"/>
          <w:b/>
          <w:kern w:val="2"/>
          <w:sz w:val="32"/>
          <w:szCs w:val="32"/>
        </w:rPr>
        <w:t>实用性和经济性</w:t>
      </w:r>
      <w:bookmarkEnd w:id="90"/>
      <w:bookmarkEnd w:id="91"/>
      <w:bookmarkEnd w:id="92"/>
      <w:bookmarkEnd w:id="93"/>
      <w:bookmarkEnd w:id="94"/>
      <w:bookmarkEnd w:id="95"/>
      <w:bookmarkEnd w:id="96"/>
      <w:bookmarkEnd w:id="97"/>
      <w:bookmarkEnd w:id="98"/>
    </w:p>
    <w:p w14:paraId="757599AE">
      <w:pPr>
        <w:tabs>
          <w:tab w:val="right" w:leader="dot" w:pos="8720"/>
        </w:tabs>
        <w:adjustRightInd w:val="0"/>
        <w:snapToGrid w:val="0"/>
        <w:spacing w:before="156" w:beforeLines="50" w:line="360" w:lineRule="auto"/>
        <w:ind w:firstLine="480"/>
        <w:rPr>
          <w:rFonts w:cs="宋体"/>
          <w:bCs/>
          <w:kern w:val="2"/>
          <w:szCs w:val="24"/>
        </w:rPr>
      </w:pPr>
      <w:r>
        <w:rPr>
          <w:rFonts w:hint="eastAsia" w:cs="宋体"/>
          <w:bCs/>
          <w:kern w:val="2"/>
          <w:szCs w:val="24"/>
        </w:rPr>
        <w:t>实用性是公司应用系统设计的基础目标，要求整个系统的架构设计合理、清晰、简捷；系统的应用方式灵活、实用、便捷。此外，还要考虑良好的管理界面和开发工具、友好的系统交互界面、使用操作的便捷性等。</w:t>
      </w:r>
    </w:p>
    <w:p w14:paraId="3B959A8D">
      <w:pPr>
        <w:spacing w:line="560" w:lineRule="atLeast"/>
        <w:ind w:firstLine="480"/>
        <w:rPr>
          <w:szCs w:val="24"/>
        </w:rPr>
      </w:pPr>
      <w:r>
        <w:rPr>
          <w:rFonts w:hint="eastAsia"/>
          <w:szCs w:val="24"/>
        </w:rPr>
        <w:t>在系统的建设过程中，贯彻面向应用、注重实效的方针，坚持实用、经济的原则，以东南电化生产运营的实际需求和业务流程为导向，从方便企业使用的角度进行系统设计、功能和模块划分。要求整个系统的架构设计合理、清晰、简捷；系统的应用方式灵活、实用、便捷。此外，还要考虑良好的管理界面和开发工具、友好的系统交互界面、使用操作的便捷性等。项目充分利用现有资源，最大限度优化资源配置，实现资源共享。以保证项目切实可行、真实落地。</w:t>
      </w:r>
    </w:p>
    <w:p w14:paraId="7556F440">
      <w:pPr>
        <w:numPr>
          <w:ilvl w:val="0"/>
          <w:numId w:val="4"/>
        </w:numPr>
        <w:tabs>
          <w:tab w:val="right" w:leader="dot" w:pos="8720"/>
        </w:tabs>
        <w:adjustRightInd w:val="0"/>
        <w:snapToGrid w:val="0"/>
        <w:spacing w:line="560" w:lineRule="exact"/>
        <w:ind w:firstLineChars="0"/>
        <w:outlineLvl w:val="1"/>
        <w:rPr>
          <w:rFonts w:ascii="楷体_GB2312" w:hAnsi="楷体_GB2312" w:eastAsia="楷体_GB2312" w:cs="楷体_GB2312"/>
          <w:b/>
          <w:kern w:val="2"/>
          <w:sz w:val="32"/>
          <w:szCs w:val="32"/>
        </w:rPr>
      </w:pPr>
      <w:bookmarkStart w:id="99" w:name="_Toc4856"/>
      <w:bookmarkStart w:id="100" w:name="_Toc1911"/>
      <w:bookmarkStart w:id="101" w:name="_Toc15508"/>
      <w:bookmarkStart w:id="102" w:name="_Toc24497"/>
      <w:bookmarkStart w:id="103" w:name="_Toc13638"/>
      <w:bookmarkStart w:id="104" w:name="_Toc10793"/>
      <w:bookmarkStart w:id="105" w:name="_Toc10761"/>
      <w:bookmarkStart w:id="106" w:name="_Toc5856"/>
      <w:bookmarkStart w:id="107" w:name="_Toc6339"/>
      <w:r>
        <w:rPr>
          <w:rFonts w:hint="eastAsia" w:ascii="楷体_GB2312" w:hAnsi="楷体_GB2312" w:eastAsia="楷体_GB2312" w:cs="楷体_GB2312"/>
          <w:b/>
          <w:kern w:val="2"/>
          <w:sz w:val="32"/>
          <w:szCs w:val="32"/>
        </w:rPr>
        <w:t>先进性和成熟性</w:t>
      </w:r>
      <w:bookmarkEnd w:id="99"/>
      <w:bookmarkEnd w:id="100"/>
      <w:bookmarkEnd w:id="101"/>
      <w:bookmarkEnd w:id="102"/>
      <w:bookmarkEnd w:id="103"/>
      <w:bookmarkEnd w:id="104"/>
      <w:bookmarkEnd w:id="105"/>
      <w:bookmarkEnd w:id="106"/>
      <w:bookmarkEnd w:id="107"/>
    </w:p>
    <w:p w14:paraId="23E54412">
      <w:pPr>
        <w:spacing w:line="360" w:lineRule="auto"/>
        <w:ind w:firstLine="480"/>
        <w:rPr>
          <w:rFonts w:cs="宋体"/>
          <w:bCs/>
          <w:kern w:val="2"/>
          <w:szCs w:val="24"/>
        </w:rPr>
      </w:pPr>
      <w:r>
        <w:rPr>
          <w:rFonts w:hint="eastAsia" w:cs="宋体"/>
          <w:bCs/>
          <w:kern w:val="2"/>
          <w:szCs w:val="24"/>
        </w:rPr>
        <w:t>设备管理系统在建设时既要立足于先进的系统设计思想理念，采用成熟、先进的技术进行设计，又要注意结构、设备、工具的相对成熟。坚持创新发展，采用先进的并且已经在实际应用中得到验证的技术构建本项目的系统，以适应将来业务发展需求，确保系统具有良好的质量。在保证实用、可靠的前提下，采用国际先进的技术架构、软件体系结构和系统分析设计方法，采用先进的并且已经在实际应用中得到验证的技术构建本项目的系统，以适应将来业务发展需求，确保系统具有良好的质量。</w:t>
      </w:r>
    </w:p>
    <w:p w14:paraId="2D713417">
      <w:pPr>
        <w:spacing w:line="360" w:lineRule="auto"/>
        <w:ind w:firstLine="480"/>
        <w:rPr>
          <w:rFonts w:cs="宋体"/>
          <w:bCs/>
          <w:kern w:val="2"/>
          <w:szCs w:val="24"/>
        </w:rPr>
      </w:pPr>
      <w:r>
        <w:rPr>
          <w:rFonts w:hint="eastAsia" w:cs="宋体"/>
          <w:bCs/>
          <w:kern w:val="2"/>
          <w:szCs w:val="24"/>
        </w:rPr>
        <w:t>产品及方案应具有技术先进性，采用业界主流的系统架构，选用主流发展趋势的技术和产品，有稳定的生命周期和发展策略，其方案、技术架构被广泛选用，并具有众多行业应用的成功案例。系统产品应易于安装和使用，用户界面风格一致，应采用普遍用户熟悉的，被众多软件系统采用的流行的交互界面，符合大众使用习惯。系统管理界面应以简体中文为主、业务人员相关的操作界面中为简体中文。</w:t>
      </w:r>
    </w:p>
    <w:p w14:paraId="6AE8301E">
      <w:pPr>
        <w:numPr>
          <w:ilvl w:val="0"/>
          <w:numId w:val="4"/>
        </w:numPr>
        <w:tabs>
          <w:tab w:val="right" w:leader="dot" w:pos="8720"/>
        </w:tabs>
        <w:adjustRightInd w:val="0"/>
        <w:snapToGrid w:val="0"/>
        <w:spacing w:line="560" w:lineRule="exact"/>
        <w:ind w:firstLineChars="0"/>
        <w:outlineLvl w:val="1"/>
        <w:rPr>
          <w:rFonts w:ascii="楷体_GB2312" w:hAnsi="楷体_GB2312" w:eastAsia="楷体_GB2312" w:cs="楷体_GB2312"/>
          <w:b/>
          <w:kern w:val="2"/>
          <w:sz w:val="32"/>
          <w:szCs w:val="32"/>
        </w:rPr>
      </w:pPr>
      <w:bookmarkStart w:id="108" w:name="_Toc7360"/>
      <w:bookmarkStart w:id="109" w:name="_Toc4493"/>
      <w:bookmarkStart w:id="110" w:name="_Toc11807"/>
      <w:bookmarkStart w:id="111" w:name="_Toc20907"/>
      <w:bookmarkStart w:id="112" w:name="_Toc28649"/>
      <w:bookmarkStart w:id="113" w:name="_Toc7788"/>
      <w:bookmarkStart w:id="114" w:name="_Toc22860"/>
      <w:bookmarkStart w:id="115" w:name="_Toc29408"/>
      <w:bookmarkStart w:id="116" w:name="_Toc10212"/>
      <w:r>
        <w:rPr>
          <w:rFonts w:hint="eastAsia" w:ascii="楷体_GB2312" w:hAnsi="楷体_GB2312" w:eastAsia="楷体_GB2312" w:cs="楷体_GB2312"/>
          <w:b/>
          <w:kern w:val="2"/>
          <w:sz w:val="32"/>
          <w:szCs w:val="32"/>
        </w:rPr>
        <w:t>可靠性和稳定性</w:t>
      </w:r>
      <w:bookmarkEnd w:id="108"/>
      <w:bookmarkEnd w:id="109"/>
      <w:bookmarkEnd w:id="110"/>
      <w:bookmarkEnd w:id="111"/>
      <w:bookmarkEnd w:id="112"/>
      <w:bookmarkEnd w:id="113"/>
      <w:bookmarkEnd w:id="114"/>
      <w:bookmarkEnd w:id="115"/>
      <w:bookmarkEnd w:id="116"/>
    </w:p>
    <w:p w14:paraId="688ADFF7">
      <w:pPr>
        <w:spacing w:line="360" w:lineRule="auto"/>
        <w:ind w:firstLine="480"/>
        <w:rPr>
          <w:rFonts w:cs="宋体"/>
          <w:bCs/>
          <w:kern w:val="2"/>
          <w:szCs w:val="24"/>
        </w:rPr>
      </w:pPr>
      <w:r>
        <w:rPr>
          <w:rFonts w:hint="eastAsia" w:cs="宋体"/>
          <w:bCs/>
          <w:kern w:val="2"/>
          <w:szCs w:val="24"/>
        </w:rPr>
        <w:t>在考虑技术先进性和开放性的同时，还应从系统结构、技术措施、设备性能、系统管理、厂商技术支持及维护能力等方面着手，确保系统运行的可靠性和稳定性，达到最大的平均无故障时间。</w:t>
      </w:r>
    </w:p>
    <w:p w14:paraId="32BEE451">
      <w:pPr>
        <w:spacing w:line="360" w:lineRule="auto"/>
        <w:ind w:firstLine="480"/>
        <w:rPr>
          <w:rFonts w:cs="宋体"/>
          <w:bCs/>
          <w:kern w:val="2"/>
          <w:szCs w:val="24"/>
        </w:rPr>
      </w:pPr>
      <w:r>
        <w:rPr>
          <w:rFonts w:hint="eastAsia" w:cs="宋体"/>
          <w:bCs/>
          <w:kern w:val="2"/>
          <w:szCs w:val="24"/>
        </w:rPr>
        <w:t>系统及其子系统所采用的软件产品应具有成熟性、容错性、易恢复；系统产品具有独立性、松耦合，有机融合，无单点故障。无论是方案的设计还是技术的实现，都要考虑如何保证整个系统可靠稳定运行，包括设计稳定的系统架构、消除单点故障、建立完善的安全保障措施和故障恢复能力等，确保系统稳定运行和安全可靠。</w:t>
      </w:r>
    </w:p>
    <w:p w14:paraId="6049CC3E">
      <w:pPr>
        <w:numPr>
          <w:ilvl w:val="0"/>
          <w:numId w:val="4"/>
        </w:numPr>
        <w:tabs>
          <w:tab w:val="right" w:leader="dot" w:pos="8720"/>
        </w:tabs>
        <w:adjustRightInd w:val="0"/>
        <w:snapToGrid w:val="0"/>
        <w:spacing w:line="560" w:lineRule="exact"/>
        <w:ind w:firstLineChars="0"/>
        <w:outlineLvl w:val="1"/>
        <w:rPr>
          <w:rFonts w:ascii="楷体_GB2312" w:hAnsi="楷体_GB2312" w:eastAsia="楷体_GB2312" w:cs="楷体_GB2312"/>
          <w:b/>
          <w:kern w:val="2"/>
          <w:sz w:val="32"/>
          <w:szCs w:val="32"/>
        </w:rPr>
      </w:pPr>
      <w:bookmarkStart w:id="117" w:name="_Toc17323"/>
      <w:bookmarkStart w:id="118" w:name="_Toc6061"/>
      <w:bookmarkStart w:id="119" w:name="_Toc7286"/>
      <w:bookmarkStart w:id="120" w:name="_Toc23554"/>
      <w:bookmarkStart w:id="121" w:name="_Toc5899"/>
      <w:bookmarkStart w:id="122" w:name="_Toc17674"/>
      <w:bookmarkStart w:id="123" w:name="_Toc10863"/>
      <w:bookmarkStart w:id="124" w:name="_Toc24076"/>
      <w:bookmarkStart w:id="125" w:name="_Toc29006"/>
      <w:r>
        <w:rPr>
          <w:rFonts w:hint="eastAsia" w:ascii="楷体_GB2312" w:hAnsi="楷体_GB2312" w:eastAsia="楷体_GB2312" w:cs="楷体_GB2312"/>
          <w:b/>
          <w:kern w:val="2"/>
          <w:sz w:val="32"/>
          <w:szCs w:val="32"/>
        </w:rPr>
        <w:t>安全性和保密性</w:t>
      </w:r>
      <w:bookmarkEnd w:id="117"/>
      <w:bookmarkEnd w:id="118"/>
      <w:bookmarkEnd w:id="119"/>
      <w:bookmarkEnd w:id="120"/>
      <w:bookmarkEnd w:id="121"/>
      <w:bookmarkEnd w:id="122"/>
      <w:bookmarkEnd w:id="123"/>
      <w:bookmarkEnd w:id="124"/>
      <w:bookmarkEnd w:id="125"/>
    </w:p>
    <w:p w14:paraId="0A2D580B">
      <w:pPr>
        <w:spacing w:line="360" w:lineRule="auto"/>
        <w:ind w:firstLine="480"/>
        <w:rPr>
          <w:rFonts w:cs="宋体"/>
          <w:bCs/>
          <w:kern w:val="2"/>
          <w:szCs w:val="24"/>
        </w:rPr>
      </w:pPr>
      <w:r>
        <w:rPr>
          <w:rFonts w:hint="eastAsia" w:cs="宋体"/>
          <w:bCs/>
          <w:kern w:val="2"/>
          <w:szCs w:val="24"/>
        </w:rPr>
        <w:t>在东南电化设备管理系统设计中，应保证系统安全、网络安全、数据安全。既要考虑企业信息资源的充分共享，更要注意企业信息的保护和隔离，因此系统应分别针对不同的应用和不同的网络通信环境，采取不同的措施，须包括系统安全机制、数据存取的权限控制等。系统应有完备的用户权限管理体系，避免数据被越权访问；系统在数据服务、运维管理过程中，应提供完善的审计功能。</w:t>
      </w:r>
    </w:p>
    <w:p w14:paraId="08975898">
      <w:pPr>
        <w:numPr>
          <w:ilvl w:val="0"/>
          <w:numId w:val="4"/>
        </w:numPr>
        <w:tabs>
          <w:tab w:val="right" w:leader="dot" w:pos="8720"/>
        </w:tabs>
        <w:adjustRightInd w:val="0"/>
        <w:snapToGrid w:val="0"/>
        <w:spacing w:line="560" w:lineRule="exact"/>
        <w:ind w:firstLineChars="0"/>
        <w:outlineLvl w:val="1"/>
        <w:rPr>
          <w:rFonts w:ascii="楷体_GB2312" w:hAnsi="楷体_GB2312" w:eastAsia="楷体_GB2312" w:cs="楷体_GB2312"/>
          <w:b/>
          <w:kern w:val="2"/>
          <w:sz w:val="32"/>
          <w:szCs w:val="32"/>
        </w:rPr>
      </w:pPr>
      <w:bookmarkStart w:id="126" w:name="_Toc13378"/>
      <w:bookmarkStart w:id="127" w:name="_Toc23483"/>
      <w:bookmarkStart w:id="128" w:name="_Toc22112"/>
      <w:bookmarkStart w:id="129" w:name="_Toc3716"/>
      <w:bookmarkStart w:id="130" w:name="_Toc7793"/>
      <w:bookmarkStart w:id="131" w:name="_Toc24983"/>
      <w:bookmarkStart w:id="132" w:name="_Toc1131"/>
      <w:bookmarkStart w:id="133" w:name="_Toc1608"/>
      <w:bookmarkStart w:id="134" w:name="_Toc23850"/>
      <w:r>
        <w:rPr>
          <w:rFonts w:hint="eastAsia" w:ascii="楷体_GB2312" w:hAnsi="楷体_GB2312" w:eastAsia="楷体_GB2312" w:cs="楷体_GB2312"/>
          <w:b/>
          <w:kern w:val="2"/>
          <w:sz w:val="32"/>
          <w:szCs w:val="32"/>
        </w:rPr>
        <w:t>扩展性和开放性</w:t>
      </w:r>
      <w:bookmarkEnd w:id="126"/>
      <w:bookmarkEnd w:id="127"/>
      <w:bookmarkEnd w:id="128"/>
      <w:bookmarkEnd w:id="129"/>
      <w:bookmarkEnd w:id="130"/>
      <w:bookmarkEnd w:id="131"/>
      <w:bookmarkEnd w:id="132"/>
      <w:bookmarkEnd w:id="133"/>
      <w:bookmarkEnd w:id="134"/>
    </w:p>
    <w:p w14:paraId="312E7458">
      <w:pPr>
        <w:spacing w:line="360" w:lineRule="auto"/>
        <w:ind w:firstLine="480"/>
        <w:rPr>
          <w:rFonts w:cs="宋体"/>
          <w:bCs/>
          <w:kern w:val="2"/>
          <w:szCs w:val="24"/>
        </w:rPr>
      </w:pPr>
      <w:r>
        <w:rPr>
          <w:rFonts w:hint="eastAsia" w:cs="宋体"/>
          <w:bCs/>
          <w:kern w:val="2"/>
          <w:szCs w:val="24"/>
        </w:rPr>
        <w:t>系统设计时采用当前先进设计思想和主流技术，既要考虑软硬件支撑环境的先进性，更要考虑系统结构、应用设计和数据结构的可扩展性。通过良好的架构设计和系统配置管理，支持计算、存储、网络、应用等资源随业务扩展而扩展，保证系统的适应性和扩展性，以利于今后技术和业务的发展。</w:t>
      </w:r>
    </w:p>
    <w:p w14:paraId="5E32257D">
      <w:pPr>
        <w:spacing w:line="360" w:lineRule="auto"/>
        <w:ind w:firstLine="480"/>
        <w:rPr>
          <w:rFonts w:cs="宋体"/>
          <w:bCs/>
          <w:kern w:val="2"/>
          <w:szCs w:val="24"/>
        </w:rPr>
      </w:pPr>
      <w:r>
        <w:rPr>
          <w:rFonts w:hint="eastAsia" w:cs="宋体"/>
          <w:bCs/>
          <w:kern w:val="2"/>
          <w:szCs w:val="24"/>
        </w:rPr>
        <w:t>系统产品具有开放性，提供基于业界标准的API接口，能够方便地与其他厂家的同类或相关系统进行系统互连集成；可以方便与其他系统进行互连，便于数据集成。</w:t>
      </w:r>
    </w:p>
    <w:p w14:paraId="44D51E3A">
      <w:pPr>
        <w:spacing w:line="360" w:lineRule="auto"/>
        <w:ind w:firstLine="482"/>
        <w:rPr>
          <w:rFonts w:cs="宋体"/>
          <w:b/>
          <w:kern w:val="2"/>
          <w:szCs w:val="24"/>
        </w:rPr>
      </w:pPr>
      <w:r>
        <w:rPr>
          <w:rFonts w:hint="eastAsia" w:cs="宋体"/>
          <w:b/>
          <w:kern w:val="2"/>
          <w:szCs w:val="24"/>
        </w:rPr>
        <w:t>提供</w:t>
      </w:r>
      <w:r>
        <w:rPr>
          <w:rFonts w:hint="eastAsia" w:cs="宋体"/>
          <w:b/>
          <w:szCs w:val="24"/>
        </w:rPr>
        <w:t>的软件系统应完成与自主可控</w:t>
      </w:r>
      <w:r>
        <w:rPr>
          <w:rFonts w:hint="eastAsia" w:cs="宋体"/>
          <w:b/>
          <w:kern w:val="2"/>
          <w:szCs w:val="24"/>
        </w:rPr>
        <w:t>CPU、服务器、操作系统、数据库、中间件、浏览器方面的适配要求。</w:t>
      </w:r>
    </w:p>
    <w:p w14:paraId="3EF56D8A">
      <w:pPr>
        <w:spacing w:line="560" w:lineRule="exact"/>
        <w:ind w:left="480" w:leftChars="200" w:firstLine="0" w:firstLineChars="0"/>
        <w:outlineLvl w:val="0"/>
        <w:rPr>
          <w:rFonts w:ascii="黑体" w:hAnsi="黑体" w:eastAsia="黑体" w:cs="黑体"/>
          <w:bCs/>
          <w:kern w:val="2"/>
          <w:sz w:val="32"/>
          <w:szCs w:val="32"/>
        </w:rPr>
      </w:pPr>
      <w:bookmarkStart w:id="135" w:name="_Toc15300"/>
      <w:bookmarkStart w:id="136" w:name="_Toc11322"/>
      <w:bookmarkStart w:id="137" w:name="_Toc1159"/>
      <w:bookmarkStart w:id="138" w:name="_Toc31252"/>
      <w:bookmarkStart w:id="139" w:name="_Toc19812"/>
      <w:bookmarkStart w:id="140" w:name="_Toc1965"/>
      <w:bookmarkStart w:id="141" w:name="_Toc1859"/>
      <w:bookmarkStart w:id="142" w:name="_Toc15924"/>
      <w:r>
        <w:rPr>
          <w:rFonts w:hint="eastAsia" w:ascii="黑体" w:hAnsi="黑体" w:eastAsia="黑体" w:cs="黑体"/>
          <w:bCs/>
          <w:kern w:val="2"/>
          <w:sz w:val="32"/>
          <w:szCs w:val="32"/>
          <w:lang w:val="en-US" w:eastAsia="zh-CN"/>
        </w:rPr>
        <w:t>五</w:t>
      </w:r>
      <w:r>
        <w:rPr>
          <w:rFonts w:hint="eastAsia" w:ascii="黑体" w:hAnsi="黑体" w:eastAsia="黑体" w:cs="黑体"/>
          <w:bCs/>
          <w:kern w:val="2"/>
          <w:sz w:val="32"/>
          <w:szCs w:val="32"/>
        </w:rPr>
        <w:t>、技术规范要求</w:t>
      </w:r>
      <w:bookmarkEnd w:id="135"/>
      <w:bookmarkEnd w:id="136"/>
      <w:bookmarkEnd w:id="137"/>
      <w:bookmarkEnd w:id="138"/>
      <w:bookmarkEnd w:id="139"/>
      <w:bookmarkEnd w:id="140"/>
      <w:bookmarkEnd w:id="141"/>
      <w:bookmarkEnd w:id="142"/>
    </w:p>
    <w:p w14:paraId="68781222">
      <w:pPr>
        <w:tabs>
          <w:tab w:val="right" w:leader="dot" w:pos="8720"/>
        </w:tabs>
        <w:adjustRightInd w:val="0"/>
        <w:snapToGrid w:val="0"/>
        <w:spacing w:line="560" w:lineRule="exact"/>
        <w:ind w:left="480" w:leftChars="200" w:firstLine="643"/>
        <w:jc w:val="left"/>
        <w:outlineLvl w:val="1"/>
        <w:rPr>
          <w:rFonts w:ascii="楷体_GB2312" w:hAnsi="楷体_GB2312" w:eastAsia="楷体_GB2312" w:cs="楷体_GB2312"/>
          <w:b/>
          <w:kern w:val="2"/>
          <w:sz w:val="32"/>
          <w:szCs w:val="32"/>
        </w:rPr>
      </w:pPr>
      <w:bookmarkStart w:id="143" w:name="_Toc31442"/>
      <w:bookmarkStart w:id="144" w:name="_Toc9353"/>
      <w:bookmarkStart w:id="145" w:name="_Toc16718"/>
      <w:bookmarkStart w:id="146" w:name="_Toc12737"/>
      <w:bookmarkStart w:id="147" w:name="_Toc12282"/>
      <w:bookmarkStart w:id="148" w:name="_Toc6346"/>
      <w:bookmarkStart w:id="149" w:name="_Toc25931"/>
      <w:bookmarkStart w:id="150" w:name="_Toc23596"/>
      <w:r>
        <w:rPr>
          <w:rFonts w:hint="eastAsia" w:ascii="楷体_GB2312" w:hAnsi="楷体_GB2312" w:eastAsia="楷体_GB2312" w:cs="楷体_GB2312"/>
          <w:b/>
          <w:kern w:val="2"/>
          <w:sz w:val="32"/>
          <w:szCs w:val="32"/>
        </w:rPr>
        <w:t>（一）系统功能</w:t>
      </w:r>
      <w:bookmarkEnd w:id="143"/>
      <w:bookmarkEnd w:id="144"/>
      <w:bookmarkEnd w:id="145"/>
      <w:bookmarkEnd w:id="146"/>
      <w:bookmarkEnd w:id="147"/>
      <w:bookmarkEnd w:id="148"/>
      <w:bookmarkEnd w:id="149"/>
      <w:bookmarkEnd w:id="150"/>
    </w:p>
    <w:p w14:paraId="615C9BBC">
      <w:pPr>
        <w:spacing w:line="360" w:lineRule="auto"/>
        <w:ind w:firstLine="482"/>
        <w:outlineLvl w:val="2"/>
        <w:rPr>
          <w:rFonts w:cs="宋体"/>
          <w:b/>
          <w:kern w:val="2"/>
          <w:szCs w:val="24"/>
        </w:rPr>
      </w:pPr>
      <w:bookmarkStart w:id="151" w:name="_Toc24777"/>
      <w:bookmarkStart w:id="152" w:name="_Toc23051"/>
      <w:bookmarkStart w:id="153" w:name="_Toc2418"/>
      <w:bookmarkStart w:id="154" w:name="_Toc19604"/>
      <w:bookmarkStart w:id="155" w:name="_Toc31653"/>
      <w:bookmarkStart w:id="156" w:name="_Toc5067"/>
      <w:bookmarkStart w:id="157" w:name="_Toc32349"/>
      <w:bookmarkStart w:id="158" w:name="_Toc8694"/>
      <w:r>
        <w:rPr>
          <w:rFonts w:hint="eastAsia" w:cs="宋体"/>
          <w:b/>
          <w:kern w:val="2"/>
          <w:szCs w:val="24"/>
        </w:rPr>
        <w:t>1.</w:t>
      </w:r>
      <w:bookmarkEnd w:id="151"/>
      <w:bookmarkEnd w:id="152"/>
      <w:bookmarkEnd w:id="153"/>
      <w:bookmarkEnd w:id="154"/>
      <w:bookmarkEnd w:id="155"/>
      <w:bookmarkEnd w:id="156"/>
      <w:bookmarkEnd w:id="157"/>
      <w:r>
        <w:rPr>
          <w:rFonts w:hint="eastAsia" w:cs="宋体"/>
          <w:b/>
          <w:kern w:val="2"/>
          <w:szCs w:val="24"/>
        </w:rPr>
        <w:t>设备体系</w:t>
      </w:r>
      <w:bookmarkEnd w:id="158"/>
    </w:p>
    <w:p w14:paraId="38CF5F07">
      <w:pPr>
        <w:spacing w:line="360" w:lineRule="auto"/>
        <w:ind w:firstLine="480"/>
        <w:rPr>
          <w:rFonts w:cs="宋体"/>
          <w:bCs/>
          <w:kern w:val="2"/>
          <w:szCs w:val="24"/>
        </w:rPr>
      </w:pPr>
      <w:r>
        <w:rPr>
          <w:rFonts w:hint="eastAsia" w:cs="宋体"/>
          <w:bCs/>
          <w:kern w:val="2"/>
          <w:szCs w:val="24"/>
        </w:rPr>
        <w:t>设备体系，此部分作为设备管理系统的底层，支撑设备管理系统的流程，业务，要求等。此部分应当包含国家法律法规及标准、设备管理规章制度、技术人员培养、资产台账管理等模块。</w:t>
      </w:r>
    </w:p>
    <w:p w14:paraId="067D6052">
      <w:pPr>
        <w:spacing w:line="360" w:lineRule="auto"/>
        <w:ind w:firstLine="482"/>
        <w:outlineLvl w:val="3"/>
        <w:rPr>
          <w:b/>
          <w:bCs/>
          <w:szCs w:val="24"/>
        </w:rPr>
      </w:pPr>
      <w:bookmarkStart w:id="159" w:name="_Toc11378"/>
      <w:bookmarkStart w:id="160" w:name="_Toc179921441"/>
      <w:r>
        <w:rPr>
          <w:rFonts w:hint="eastAsia"/>
          <w:b/>
          <w:bCs/>
          <w:szCs w:val="24"/>
        </w:rPr>
        <w:t>1.1法律法规</w:t>
      </w:r>
      <w:bookmarkEnd w:id="159"/>
      <w:bookmarkEnd w:id="160"/>
    </w:p>
    <w:p w14:paraId="12E4D5ED">
      <w:pPr>
        <w:spacing w:line="360" w:lineRule="auto"/>
        <w:ind w:firstLine="480"/>
        <w:rPr>
          <w:rFonts w:cs="宋体"/>
          <w:bCs/>
          <w:kern w:val="2"/>
          <w:szCs w:val="24"/>
        </w:rPr>
      </w:pPr>
      <w:r>
        <w:rPr>
          <w:rFonts w:hint="eastAsia" w:cs="宋体"/>
          <w:bCs/>
          <w:kern w:val="2"/>
          <w:szCs w:val="24"/>
        </w:rPr>
        <w:tab/>
      </w:r>
      <w:r>
        <w:rPr>
          <w:rFonts w:hint="eastAsia" w:cs="宋体"/>
          <w:bCs/>
          <w:kern w:val="2"/>
          <w:szCs w:val="24"/>
        </w:rPr>
        <w:t>此处应当分机电仪土建专业分文件夹，由各专业技术人员进行相应法律法规文件上传，上传文件应设置固定文件名称格式模板，分三部分，第一部分为标号，如GBT、TSG、NBT等；第二部分为标准号带年份，如11-2020、12241-2021、20801.1-2020等；第三部分为标准名称，如安全阀一般要求、压力管道规范 工业管道 第一部分：总则。</w:t>
      </w:r>
    </w:p>
    <w:p w14:paraId="6FEF980C">
      <w:pPr>
        <w:spacing w:line="360" w:lineRule="auto"/>
        <w:ind w:firstLine="480"/>
        <w:rPr>
          <w:rFonts w:cs="宋体"/>
          <w:bCs/>
          <w:kern w:val="2"/>
          <w:szCs w:val="24"/>
        </w:rPr>
      </w:pPr>
      <w:r>
        <w:rPr>
          <w:rFonts w:hint="eastAsia" w:cs="宋体"/>
          <w:bCs/>
          <w:kern w:val="2"/>
          <w:szCs w:val="24"/>
        </w:rPr>
        <w:t>如若涉及市场监督管理局或其他部门发布的规定，标准修改单等未具有标准号的，上传时仍分三部分，第一部分为年份月份（公布日期）；第二部分为相应代号，如74号令、1号修改单等，第三部分为具体名称（涉及标准需备注标准号），如：固定式压力容器安全技术监察规程（TSG 21-2016），特种设备使用单位落实使用安全主体责任监督管理规定；总体则为：2023年4月74号令 特种设备使用单位落实使用安全主体责任监督管理规定。</w:t>
      </w:r>
    </w:p>
    <w:p w14:paraId="55A8F1FA">
      <w:pPr>
        <w:spacing w:line="360" w:lineRule="auto"/>
        <w:ind w:firstLine="480"/>
        <w:rPr>
          <w:rFonts w:cs="宋体"/>
          <w:bCs/>
          <w:kern w:val="2"/>
          <w:szCs w:val="24"/>
        </w:rPr>
      </w:pPr>
      <w:r>
        <w:rPr>
          <w:rFonts w:hint="eastAsia" w:cs="宋体"/>
          <w:bCs/>
          <w:kern w:val="2"/>
          <w:szCs w:val="24"/>
        </w:rPr>
        <w:t>示例：</w:t>
      </w:r>
    </w:p>
    <w:p w14:paraId="4D57FA22">
      <w:pPr>
        <w:spacing w:line="360" w:lineRule="auto"/>
        <w:ind w:firstLine="480"/>
        <w:rPr>
          <w:rFonts w:cs="宋体"/>
          <w:bCs/>
          <w:kern w:val="2"/>
          <w:szCs w:val="24"/>
        </w:rPr>
      </w:pPr>
      <w:r>
        <w:rPr>
          <w:rFonts w:hint="eastAsia" w:cs="宋体"/>
          <w:bCs/>
          <w:kern w:val="2"/>
          <w:szCs w:val="24"/>
        </w:rPr>
        <w:t>TSG 51-2023 起重机械安全技术规程.pdf</w:t>
      </w:r>
    </w:p>
    <w:p w14:paraId="4323BCEC">
      <w:pPr>
        <w:spacing w:line="360" w:lineRule="auto"/>
        <w:ind w:firstLine="480"/>
        <w:rPr>
          <w:rFonts w:cs="宋体"/>
          <w:bCs/>
          <w:kern w:val="2"/>
          <w:szCs w:val="24"/>
        </w:rPr>
      </w:pPr>
      <w:r>
        <w:rPr>
          <w:rFonts w:hint="eastAsia" w:cs="宋体"/>
          <w:bCs/>
          <w:kern w:val="2"/>
          <w:szCs w:val="24"/>
        </w:rPr>
        <w:t>TSG D7002-2023 压力管道元件型式试验规则.pdf</w:t>
      </w:r>
    </w:p>
    <w:p w14:paraId="4D138A04">
      <w:pPr>
        <w:spacing w:line="360" w:lineRule="auto"/>
        <w:ind w:firstLine="480"/>
        <w:rPr>
          <w:rFonts w:cs="宋体"/>
          <w:bCs/>
          <w:kern w:val="2"/>
          <w:szCs w:val="24"/>
        </w:rPr>
      </w:pPr>
      <w:r>
        <w:rPr>
          <w:rFonts w:hint="eastAsia" w:cs="宋体"/>
          <w:bCs/>
          <w:kern w:val="2"/>
          <w:szCs w:val="24"/>
        </w:rPr>
        <w:t>TSG D7005-2018 压力管道定期检验规则.pdf</w:t>
      </w:r>
    </w:p>
    <w:p w14:paraId="01A2A4F5">
      <w:pPr>
        <w:spacing w:line="360" w:lineRule="auto"/>
        <w:ind w:firstLine="482"/>
        <w:rPr>
          <w:rFonts w:cs="宋体"/>
          <w:bCs/>
          <w:kern w:val="2"/>
          <w:szCs w:val="24"/>
        </w:rPr>
      </w:pPr>
      <w:r>
        <w:rPr>
          <w:rFonts w:hint="eastAsia" w:cs="宋体"/>
          <w:b/>
          <w:kern w:val="2"/>
          <w:szCs w:val="24"/>
        </w:rPr>
        <w:t>要求：</w:t>
      </w:r>
      <w:r>
        <w:rPr>
          <w:rFonts w:hint="eastAsia" w:cs="宋体"/>
          <w:bCs/>
          <w:kern w:val="2"/>
          <w:szCs w:val="24"/>
        </w:rPr>
        <w:t>上述文件上传应当具备批量上传功能，可采用文件名称统一分三部分提取，随后进行修改完善，统一重命名文件，随后全部选中上传。</w:t>
      </w:r>
    </w:p>
    <w:p w14:paraId="579EF4E3">
      <w:pPr>
        <w:spacing w:line="360" w:lineRule="auto"/>
        <w:ind w:firstLine="482"/>
        <w:rPr>
          <w:rFonts w:cs="宋体"/>
          <w:bCs/>
          <w:kern w:val="2"/>
          <w:szCs w:val="24"/>
        </w:rPr>
      </w:pPr>
      <w:r>
        <w:rPr>
          <w:rFonts w:hint="eastAsia" w:cs="宋体"/>
          <w:b/>
          <w:kern w:val="2"/>
          <w:szCs w:val="24"/>
        </w:rPr>
        <w:t>操作：</w:t>
      </w:r>
      <w:r>
        <w:rPr>
          <w:rFonts w:hint="eastAsia" w:cs="宋体"/>
          <w:bCs/>
          <w:kern w:val="2"/>
          <w:szCs w:val="24"/>
        </w:rPr>
        <w:t>各专业技术人员上传修改各自专业的法律法规文件。</w:t>
      </w:r>
    </w:p>
    <w:p w14:paraId="082596EA">
      <w:pPr>
        <w:spacing w:line="360" w:lineRule="auto"/>
        <w:ind w:firstLine="482"/>
        <w:rPr>
          <w:rFonts w:cs="宋体"/>
          <w:bCs/>
          <w:kern w:val="2"/>
          <w:szCs w:val="24"/>
        </w:rPr>
      </w:pPr>
      <w:r>
        <w:rPr>
          <w:rFonts w:hint="eastAsia" w:cs="宋体"/>
          <w:b/>
          <w:kern w:val="2"/>
          <w:szCs w:val="24"/>
        </w:rPr>
        <w:t>权限：</w:t>
      </w:r>
      <w:r>
        <w:rPr>
          <w:rFonts w:hint="eastAsia" w:cs="宋体"/>
          <w:bCs/>
          <w:kern w:val="2"/>
          <w:szCs w:val="24"/>
        </w:rPr>
        <w:t>各专业技术人员具备所有专业文件查看下载权限，仅具备自身专业文件上传修改权限；所有人员具备查看权限，管理员具备所有权限。</w:t>
      </w:r>
    </w:p>
    <w:p w14:paraId="251B43E9">
      <w:pPr>
        <w:spacing w:line="360" w:lineRule="auto"/>
        <w:ind w:firstLine="482"/>
        <w:outlineLvl w:val="3"/>
        <w:rPr>
          <w:b/>
          <w:bCs/>
          <w:szCs w:val="24"/>
        </w:rPr>
      </w:pPr>
      <w:bookmarkStart w:id="161" w:name="_Toc179921442"/>
      <w:bookmarkStart w:id="162" w:name="_Toc2210"/>
      <w:r>
        <w:rPr>
          <w:rFonts w:hint="eastAsia"/>
          <w:b/>
          <w:bCs/>
          <w:szCs w:val="24"/>
        </w:rPr>
        <w:t>1.2设备管理规章制度</w:t>
      </w:r>
      <w:bookmarkEnd w:id="161"/>
      <w:bookmarkEnd w:id="162"/>
    </w:p>
    <w:p w14:paraId="2208FE44">
      <w:pPr>
        <w:spacing w:line="360" w:lineRule="auto"/>
        <w:ind w:firstLine="480"/>
        <w:rPr>
          <w:rFonts w:cs="宋体"/>
          <w:bCs/>
          <w:kern w:val="2"/>
          <w:szCs w:val="24"/>
        </w:rPr>
      </w:pPr>
      <w:r>
        <w:rPr>
          <w:rFonts w:hint="eastAsia" w:cs="宋体"/>
          <w:bCs/>
          <w:kern w:val="2"/>
          <w:szCs w:val="24"/>
        </w:rPr>
        <w:tab/>
      </w:r>
      <w:r>
        <w:rPr>
          <w:rFonts w:hint="eastAsia" w:cs="宋体"/>
          <w:bCs/>
          <w:kern w:val="2"/>
          <w:szCs w:val="24"/>
        </w:rPr>
        <w:t>此处将OA平台上的管理制度进行引用，该模块处不进行专业文件夹区分仅对上传文件名称进行规范，命名参照发文命名，如</w:t>
      </w:r>
    </w:p>
    <w:p w14:paraId="4E0F2828">
      <w:pPr>
        <w:spacing w:line="360" w:lineRule="auto"/>
        <w:ind w:firstLine="480"/>
        <w:rPr>
          <w:rFonts w:cs="宋体"/>
          <w:bCs/>
          <w:kern w:val="2"/>
          <w:szCs w:val="24"/>
        </w:rPr>
      </w:pPr>
      <w:r>
        <w:rPr>
          <w:rFonts w:hint="eastAsia" w:cs="宋体"/>
          <w:bCs/>
          <w:kern w:val="2"/>
          <w:szCs w:val="24"/>
        </w:rPr>
        <w:t>金属监督制度(闽电化政〔2022〕154号）.pdf</w:t>
      </w:r>
    </w:p>
    <w:p w14:paraId="36845BE0">
      <w:pPr>
        <w:spacing w:line="360" w:lineRule="auto"/>
        <w:ind w:firstLine="480"/>
        <w:rPr>
          <w:rFonts w:cs="宋体"/>
          <w:bCs/>
          <w:kern w:val="2"/>
          <w:szCs w:val="24"/>
        </w:rPr>
      </w:pPr>
      <w:r>
        <w:rPr>
          <w:rFonts w:hint="eastAsia" w:cs="宋体"/>
          <w:bCs/>
          <w:kern w:val="2"/>
          <w:szCs w:val="24"/>
        </w:rPr>
        <w:t xml:space="preserve">设备润滑管理制度(闽电化政〔2022〕172号）.pdf </w:t>
      </w:r>
    </w:p>
    <w:p w14:paraId="0EC575F2">
      <w:pPr>
        <w:spacing w:line="360" w:lineRule="auto"/>
        <w:ind w:firstLine="480"/>
        <w:rPr>
          <w:rFonts w:cs="宋体"/>
          <w:bCs/>
          <w:kern w:val="2"/>
          <w:szCs w:val="24"/>
        </w:rPr>
      </w:pPr>
      <w:r>
        <w:rPr>
          <w:rFonts w:hint="eastAsia" w:cs="宋体"/>
          <w:bCs/>
          <w:kern w:val="2"/>
          <w:szCs w:val="24"/>
        </w:rPr>
        <w:t xml:space="preserve">静设备管理规定(闽电化政〔2023〕32号）.pdf </w:t>
      </w:r>
    </w:p>
    <w:p w14:paraId="484A8906">
      <w:pPr>
        <w:spacing w:line="360" w:lineRule="auto"/>
        <w:ind w:firstLine="480"/>
        <w:rPr>
          <w:rFonts w:cs="宋体"/>
          <w:bCs/>
          <w:kern w:val="2"/>
          <w:szCs w:val="24"/>
        </w:rPr>
      </w:pPr>
      <w:r>
        <w:rPr>
          <w:rFonts w:hint="eastAsia" w:cs="宋体"/>
          <w:bCs/>
          <w:kern w:val="2"/>
          <w:szCs w:val="24"/>
        </w:rPr>
        <w:t>特种设备管理规定(闽电化政〔2023〕33号）.pdf</w:t>
      </w:r>
    </w:p>
    <w:p w14:paraId="6E77894A">
      <w:pPr>
        <w:spacing w:line="360" w:lineRule="auto"/>
        <w:ind w:firstLine="480"/>
        <w:rPr>
          <w:rFonts w:cs="宋体"/>
          <w:bCs/>
          <w:kern w:val="2"/>
          <w:szCs w:val="24"/>
        </w:rPr>
      </w:pPr>
      <w:r>
        <w:rPr>
          <w:rFonts w:hint="eastAsia" w:cs="宋体"/>
          <w:bCs/>
          <w:kern w:val="2"/>
          <w:szCs w:val="24"/>
        </w:rPr>
        <w:t>权限：各专业技术人员均具备查看下载权限；所有人员具备查看权限，管理员具备所有权限。</w:t>
      </w:r>
    </w:p>
    <w:p w14:paraId="7ADABB1D">
      <w:pPr>
        <w:spacing w:line="360" w:lineRule="auto"/>
        <w:ind w:firstLine="482"/>
        <w:outlineLvl w:val="3"/>
        <w:rPr>
          <w:b/>
          <w:bCs/>
          <w:szCs w:val="24"/>
        </w:rPr>
      </w:pPr>
      <w:bookmarkStart w:id="163" w:name="_Toc5021"/>
      <w:r>
        <w:rPr>
          <w:rFonts w:hint="eastAsia"/>
          <w:b/>
          <w:bCs/>
          <w:szCs w:val="24"/>
        </w:rPr>
        <w:t>1.3技术人员学习</w:t>
      </w:r>
      <w:bookmarkEnd w:id="163"/>
    </w:p>
    <w:p w14:paraId="344942A5">
      <w:pPr>
        <w:spacing w:line="360" w:lineRule="auto"/>
        <w:ind w:firstLine="480"/>
        <w:rPr>
          <w:rFonts w:cs="宋体"/>
          <w:bCs/>
          <w:kern w:val="2"/>
          <w:szCs w:val="24"/>
        </w:rPr>
      </w:pPr>
      <w:r>
        <w:rPr>
          <w:rFonts w:hint="eastAsia" w:cs="宋体"/>
          <w:bCs/>
          <w:kern w:val="2"/>
          <w:szCs w:val="24"/>
        </w:rPr>
        <w:t>该模块用于放置技术人员相关知识学习文件、技术交流资料、事故经验总结、异常分析原因汇总。</w:t>
      </w:r>
    </w:p>
    <w:p w14:paraId="798E7833">
      <w:pPr>
        <w:spacing w:line="360" w:lineRule="auto"/>
        <w:ind w:firstLine="482"/>
        <w:outlineLvl w:val="3"/>
        <w:rPr>
          <w:b/>
          <w:bCs/>
          <w:szCs w:val="24"/>
        </w:rPr>
      </w:pPr>
      <w:bookmarkStart w:id="164" w:name="_Toc7355"/>
      <w:bookmarkStart w:id="165" w:name="_Toc179921443"/>
      <w:r>
        <w:rPr>
          <w:rFonts w:hint="eastAsia"/>
          <w:b/>
          <w:bCs/>
          <w:szCs w:val="24"/>
        </w:rPr>
        <w:t>1.4</w:t>
      </w:r>
      <w:r>
        <w:rPr>
          <w:rFonts w:hint="eastAsia"/>
          <w:b/>
          <w:bCs/>
          <w:szCs w:val="24"/>
          <w:lang w:val="en-US" w:eastAsia="zh-CN"/>
        </w:rPr>
        <w:t>资产</w:t>
      </w:r>
      <w:r>
        <w:rPr>
          <w:rFonts w:hint="eastAsia"/>
          <w:b/>
          <w:bCs/>
          <w:szCs w:val="24"/>
        </w:rPr>
        <w:t>台账管理</w:t>
      </w:r>
      <w:bookmarkEnd w:id="164"/>
      <w:bookmarkEnd w:id="165"/>
    </w:p>
    <w:p w14:paraId="69A62892">
      <w:pPr>
        <w:spacing w:line="360" w:lineRule="auto"/>
        <w:ind w:firstLine="480"/>
        <w:rPr>
          <w:rFonts w:cs="宋体"/>
          <w:bCs/>
          <w:kern w:val="2"/>
          <w:szCs w:val="24"/>
        </w:rPr>
      </w:pPr>
      <w:r>
        <w:rPr>
          <w:rFonts w:hint="eastAsia" w:cs="宋体"/>
          <w:bCs/>
          <w:kern w:val="2"/>
          <w:szCs w:val="24"/>
        </w:rPr>
        <w:tab/>
      </w:r>
      <w:r>
        <w:rPr>
          <w:rFonts w:hint="eastAsia" w:cs="宋体"/>
          <w:bCs/>
          <w:kern w:val="2"/>
          <w:szCs w:val="24"/>
        </w:rPr>
        <w:t>该模块分设分别为设备台账、电气台账、仪表台账、土建台账；后续的相关工作开展都将基于资产台账，如后续的分级管理，安装调试验收，到货验收等将归属至其台账信息内；每条资产台账信息内的文件资料应当分为申购到货记录、安装调试记录、日常维护策略、缺陷处置分析、文件规程资料、处置报废记录、润滑记录等。</w:t>
      </w:r>
    </w:p>
    <w:p w14:paraId="266F668C">
      <w:pPr>
        <w:spacing w:line="360" w:lineRule="auto"/>
        <w:ind w:firstLine="480"/>
        <w:rPr>
          <w:rFonts w:cs="宋体"/>
          <w:bCs/>
          <w:kern w:val="2"/>
          <w:szCs w:val="24"/>
        </w:rPr>
      </w:pPr>
      <w:r>
        <w:rPr>
          <w:rFonts w:hint="eastAsia" w:cs="宋体"/>
          <w:bCs/>
          <w:kern w:val="2"/>
          <w:szCs w:val="24"/>
        </w:rPr>
        <w:tab/>
      </w:r>
      <w:r>
        <w:rPr>
          <w:rFonts w:hint="eastAsia" w:cs="宋体"/>
          <w:bCs/>
          <w:kern w:val="2"/>
          <w:szCs w:val="24"/>
        </w:rPr>
        <w:t>相应台账信息应当与资产信息相对应。</w:t>
      </w:r>
    </w:p>
    <w:p w14:paraId="1ABDC5DB">
      <w:pPr>
        <w:pStyle w:val="6"/>
        <w:numPr>
          <w:ilvl w:val="4"/>
          <w:numId w:val="0"/>
        </w:numPr>
        <w:ind w:left="485" w:leftChars="202"/>
        <w:rPr>
          <w:rFonts w:asciiTheme="minorEastAsia" w:hAnsiTheme="minorEastAsia"/>
          <w:color w:val="auto"/>
        </w:rPr>
      </w:pPr>
      <w:r>
        <w:rPr>
          <w:rFonts w:hint="eastAsia" w:asciiTheme="minorEastAsia" w:hAnsiTheme="minorEastAsia"/>
          <w:color w:val="auto"/>
        </w:rPr>
        <w:t>1.4.1设备台账</w:t>
      </w:r>
    </w:p>
    <w:p w14:paraId="7D5C107C">
      <w:pPr>
        <w:spacing w:line="360" w:lineRule="auto"/>
        <w:ind w:firstLine="480"/>
        <w:rPr>
          <w:rFonts w:cs="宋体"/>
          <w:bCs/>
          <w:kern w:val="2"/>
          <w:szCs w:val="24"/>
        </w:rPr>
      </w:pPr>
      <w:r>
        <w:rPr>
          <w:rFonts w:hint="eastAsia" w:cs="宋体"/>
          <w:bCs/>
          <w:kern w:val="2"/>
          <w:szCs w:val="24"/>
        </w:rPr>
        <w:tab/>
      </w:r>
      <w:r>
        <w:rPr>
          <w:rFonts w:hint="eastAsia" w:cs="宋体"/>
          <w:bCs/>
          <w:kern w:val="2"/>
          <w:szCs w:val="24"/>
        </w:rPr>
        <w:t>设备台账细分为动设备台账、静设备台账、特种设备台账、薄弱设施台账等。</w:t>
      </w:r>
    </w:p>
    <w:p w14:paraId="4FF17283">
      <w:pPr>
        <w:spacing w:line="360" w:lineRule="auto"/>
        <w:ind w:firstLine="480"/>
        <w:rPr>
          <w:rFonts w:cs="宋体"/>
          <w:bCs/>
          <w:kern w:val="2"/>
          <w:szCs w:val="24"/>
        </w:rPr>
      </w:pPr>
      <w:r>
        <w:rPr>
          <w:rFonts w:hint="eastAsia" w:cs="宋体"/>
          <w:bCs/>
          <w:kern w:val="2"/>
          <w:szCs w:val="24"/>
        </w:rPr>
        <w:t>动设备台账：</w:t>
      </w:r>
      <w:bookmarkStart w:id="166" w:name="_MON_1786088578"/>
      <w:bookmarkEnd w:id="166"/>
      <w:r>
        <w:rPr>
          <w:rFonts w:hint="eastAsia" w:cs="宋体"/>
          <w:bCs/>
          <w:kern w:val="2"/>
          <w:szCs w:val="24"/>
        </w:rPr>
        <w:object>
          <v:shape id="_x0000_i1025" o:spt="75" type="#_x0000_t75" style="height:39.95pt;width:56.85pt;" o:ole="t" filled="f" o:preferrelative="t" stroked="f" coordsize="21600,21600">
            <v:path/>
            <v:fill on="f" focussize="0,0"/>
            <v:stroke on="f" joinstyle="miter"/>
            <v:imagedata r:id="rId15" o:title=""/>
            <o:lock v:ext="edit" aspectratio="t"/>
            <w10:wrap type="none"/>
            <w10:anchorlock/>
          </v:shape>
          <o:OLEObject Type="Embed" ProgID="Excel.Sheet.12" ShapeID="_x0000_i1025" DrawAspect="Icon" ObjectID="_1468075725" r:id="rId14">
            <o:LockedField>false</o:LockedField>
          </o:OLEObject>
        </w:object>
      </w:r>
    </w:p>
    <w:p w14:paraId="7CC2E307">
      <w:pPr>
        <w:spacing w:line="360" w:lineRule="auto"/>
        <w:ind w:firstLine="480"/>
        <w:rPr>
          <w:rFonts w:cs="宋体"/>
          <w:bCs/>
          <w:kern w:val="2"/>
          <w:szCs w:val="24"/>
        </w:rPr>
      </w:pPr>
      <w:r>
        <w:rPr>
          <w:rFonts w:hint="eastAsia" w:cs="宋体"/>
          <w:bCs/>
          <w:kern w:val="2"/>
          <w:szCs w:val="24"/>
        </w:rPr>
        <w:t>静设备台账：</w:t>
      </w:r>
      <w:bookmarkStart w:id="167" w:name="_MON_1786088626"/>
      <w:bookmarkEnd w:id="167"/>
      <w:r>
        <w:rPr>
          <w:rFonts w:hint="eastAsia" w:cs="宋体"/>
          <w:bCs/>
          <w:kern w:val="2"/>
          <w:szCs w:val="24"/>
        </w:rPr>
        <w:object>
          <v:shape id="_x0000_i1026" o:spt="75" type="#_x0000_t75" style="height:40.25pt;width:57.5pt;" o:ole="t" filled="f" o:preferrelative="t" stroked="f" coordsize="21600,21600">
            <v:path/>
            <v:fill on="f" focussize="0,0"/>
            <v:stroke on="f" joinstyle="miter"/>
            <v:imagedata r:id="rId17" o:title=""/>
            <o:lock v:ext="edit" aspectratio="t"/>
            <w10:wrap type="none"/>
            <w10:anchorlock/>
          </v:shape>
          <o:OLEObject Type="Embed" ProgID="Excel.Sheet.12" ShapeID="_x0000_i1026" DrawAspect="Icon" ObjectID="_1468075726" r:id="rId16">
            <o:LockedField>false</o:LockedField>
          </o:OLEObject>
        </w:object>
      </w:r>
    </w:p>
    <w:p w14:paraId="5B8C82C5">
      <w:pPr>
        <w:spacing w:line="360" w:lineRule="auto"/>
        <w:ind w:firstLine="480"/>
        <w:rPr>
          <w:rFonts w:cs="宋体"/>
          <w:bCs/>
          <w:kern w:val="2"/>
          <w:szCs w:val="24"/>
        </w:rPr>
      </w:pPr>
      <w:r>
        <w:rPr>
          <w:rFonts w:hint="eastAsia" w:cs="宋体"/>
          <w:bCs/>
          <w:kern w:val="2"/>
          <w:szCs w:val="24"/>
        </w:rPr>
        <w:t xml:space="preserve">薄弱设施台账： </w:t>
      </w:r>
      <w:bookmarkStart w:id="168" w:name="_MON_1786004667"/>
      <w:bookmarkEnd w:id="168"/>
      <w:r>
        <w:rPr>
          <w:rFonts w:hint="eastAsia" w:cs="宋体"/>
          <w:bCs/>
          <w:kern w:val="2"/>
          <w:szCs w:val="24"/>
        </w:rPr>
        <w:object>
          <v:shape id="_x0000_i1027" o:spt="75" type="#_x0000_t75" style="height:38.45pt;width:54.85pt;" o:ole="t" filled="f" o:preferrelative="t" stroked="f" coordsize="21600,21600">
            <v:path/>
            <v:fill on="f" focussize="0,0"/>
            <v:stroke on="f" joinstyle="miter"/>
            <v:imagedata r:id="rId19" o:title=""/>
            <o:lock v:ext="edit" aspectratio="t"/>
            <w10:wrap type="none"/>
            <w10:anchorlock/>
          </v:shape>
          <o:OLEObject Type="Embed" ProgID="Excel.Sheet.12" ShapeID="_x0000_i1027" DrawAspect="Icon" ObjectID="_1468075727" r:id="rId18">
            <o:LockedField>false</o:LockedField>
          </o:OLEObject>
        </w:object>
      </w:r>
    </w:p>
    <w:p w14:paraId="3881A9E4">
      <w:pPr>
        <w:spacing w:line="360" w:lineRule="auto"/>
        <w:ind w:firstLine="480"/>
        <w:rPr>
          <w:rFonts w:cs="宋体"/>
          <w:bCs/>
          <w:kern w:val="2"/>
          <w:szCs w:val="24"/>
        </w:rPr>
      </w:pPr>
      <w:r>
        <w:rPr>
          <w:rFonts w:hint="eastAsia" w:cs="宋体"/>
          <w:bCs/>
          <w:kern w:val="2"/>
          <w:szCs w:val="24"/>
        </w:rPr>
        <w:t>作业人员台账：</w:t>
      </w:r>
    </w:p>
    <w:p w14:paraId="615F6000">
      <w:pPr>
        <w:spacing w:line="360" w:lineRule="auto"/>
        <w:ind w:firstLine="480"/>
        <w:rPr>
          <w:rFonts w:cs="宋体"/>
          <w:bCs/>
          <w:kern w:val="2"/>
          <w:szCs w:val="24"/>
        </w:rPr>
      </w:pPr>
      <w:r>
        <w:rPr>
          <w:rFonts w:hint="eastAsia" w:cs="宋体"/>
          <w:bCs/>
          <w:kern w:val="2"/>
          <w:szCs w:val="24"/>
        </w:rPr>
        <w:t>备品备件台账：</w:t>
      </w:r>
    </w:p>
    <w:p w14:paraId="22F2C77A">
      <w:pPr>
        <w:pStyle w:val="6"/>
        <w:numPr>
          <w:ilvl w:val="4"/>
          <w:numId w:val="0"/>
        </w:numPr>
        <w:ind w:left="485" w:leftChars="202"/>
        <w:rPr>
          <w:rFonts w:asciiTheme="minorEastAsia" w:hAnsiTheme="minorEastAsia"/>
          <w:color w:val="auto"/>
        </w:rPr>
      </w:pPr>
      <w:r>
        <w:rPr>
          <w:rFonts w:hint="eastAsia" w:asciiTheme="minorEastAsia" w:hAnsiTheme="minorEastAsia"/>
          <w:color w:val="auto"/>
        </w:rPr>
        <w:t>1.4.2电气台账</w:t>
      </w:r>
    </w:p>
    <w:p w14:paraId="56DB673D">
      <w:pPr>
        <w:pStyle w:val="6"/>
        <w:numPr>
          <w:ilvl w:val="4"/>
          <w:numId w:val="0"/>
        </w:numPr>
        <w:ind w:left="485" w:leftChars="202"/>
        <w:rPr>
          <w:rFonts w:asciiTheme="minorEastAsia" w:hAnsiTheme="minorEastAsia"/>
          <w:color w:val="auto"/>
        </w:rPr>
      </w:pPr>
      <w:r>
        <w:rPr>
          <w:rFonts w:hint="eastAsia" w:asciiTheme="minorEastAsia" w:hAnsiTheme="minorEastAsia"/>
          <w:color w:val="auto"/>
        </w:rPr>
        <w:t>1.4.3仪表台账</w:t>
      </w:r>
    </w:p>
    <w:p w14:paraId="3A1479C9">
      <w:pPr>
        <w:pStyle w:val="6"/>
        <w:numPr>
          <w:ilvl w:val="4"/>
          <w:numId w:val="0"/>
        </w:numPr>
        <w:ind w:left="485" w:leftChars="202"/>
        <w:rPr>
          <w:rFonts w:asciiTheme="minorEastAsia" w:hAnsiTheme="minorEastAsia"/>
          <w:color w:val="auto"/>
        </w:rPr>
      </w:pPr>
      <w:r>
        <w:rPr>
          <w:rFonts w:hint="eastAsia" w:asciiTheme="minorEastAsia" w:hAnsiTheme="minorEastAsia"/>
          <w:color w:val="auto"/>
        </w:rPr>
        <w:t>1.4.4土建台账</w:t>
      </w:r>
    </w:p>
    <w:p w14:paraId="3E90D9B4">
      <w:pPr>
        <w:spacing w:line="360" w:lineRule="auto"/>
        <w:ind w:firstLine="480"/>
        <w:rPr>
          <w:rFonts w:cs="宋体"/>
          <w:bCs/>
          <w:kern w:val="2"/>
          <w:szCs w:val="24"/>
        </w:rPr>
      </w:pPr>
      <w:r>
        <w:rPr>
          <w:rFonts w:hint="eastAsia" w:cs="宋体"/>
          <w:bCs/>
          <w:kern w:val="2"/>
          <w:szCs w:val="24"/>
        </w:rPr>
        <w:t>要求：</w:t>
      </w:r>
    </w:p>
    <w:p w14:paraId="55FCA562">
      <w:pPr>
        <w:spacing w:line="360" w:lineRule="auto"/>
        <w:ind w:firstLine="480"/>
        <w:rPr>
          <w:rFonts w:cs="宋体"/>
          <w:bCs/>
          <w:kern w:val="2"/>
          <w:szCs w:val="24"/>
        </w:rPr>
      </w:pPr>
      <w:r>
        <w:rPr>
          <w:rFonts w:hint="eastAsia" w:cs="宋体"/>
          <w:bCs/>
          <w:kern w:val="2"/>
          <w:szCs w:val="24"/>
        </w:rPr>
        <w:t>1.此部分应当可根据表格进行批量导入导出，系统表格批量修订删除；</w:t>
      </w:r>
    </w:p>
    <w:p w14:paraId="58617605">
      <w:pPr>
        <w:spacing w:line="360" w:lineRule="auto"/>
        <w:ind w:firstLine="480"/>
        <w:rPr>
          <w:rFonts w:cs="宋体"/>
          <w:bCs/>
          <w:kern w:val="2"/>
          <w:szCs w:val="24"/>
        </w:rPr>
      </w:pPr>
      <w:r>
        <w:rPr>
          <w:rFonts w:hint="eastAsia" w:cs="宋体"/>
          <w:bCs/>
          <w:kern w:val="2"/>
          <w:szCs w:val="24"/>
        </w:rPr>
        <w:t>2.展示表头应当可以自行增加删除隐藏，位置移动及冻结，内部展示字符串未具有长度限制，且可设定相应格式（仅影响个人使用界面，系统总体原界面应当由管理员进行变更），同时相应导入模板自动依据设定格式进行变化。</w:t>
      </w:r>
    </w:p>
    <w:p w14:paraId="2DF97A5B">
      <w:pPr>
        <w:spacing w:line="360" w:lineRule="auto"/>
        <w:ind w:firstLine="480"/>
        <w:rPr>
          <w:rFonts w:cs="宋体"/>
          <w:bCs/>
          <w:kern w:val="2"/>
          <w:szCs w:val="24"/>
        </w:rPr>
      </w:pPr>
      <w:r>
        <w:rPr>
          <w:rFonts w:hint="eastAsia" w:cs="宋体"/>
          <w:bCs/>
          <w:kern w:val="2"/>
          <w:szCs w:val="24"/>
        </w:rPr>
        <w:t>3.字符检索应当非顺序匹配，包含模糊搜索，精确搜索等。需满足可在所有资产台账中，搜索某一项表头的数据状态（如搜索所有停用设备，拆除设备，安装阶段的设备），亦可搜索所有数据中，满足某些特定条件的值（如所有20#材质，容积在10m³以下，非衬里的储罐）；</w:t>
      </w:r>
    </w:p>
    <w:p w14:paraId="56D7B50C">
      <w:pPr>
        <w:spacing w:line="360" w:lineRule="auto"/>
        <w:ind w:firstLine="480"/>
        <w:rPr>
          <w:rFonts w:cs="宋体"/>
          <w:bCs/>
          <w:kern w:val="2"/>
          <w:szCs w:val="24"/>
        </w:rPr>
      </w:pPr>
      <w:r>
        <w:rPr>
          <w:rFonts w:hint="eastAsia" w:cs="宋体"/>
          <w:bCs/>
          <w:kern w:val="2"/>
          <w:szCs w:val="24"/>
        </w:rPr>
        <w:t>4.每条台账信息应当可点击进去，查看其相应文件资料，文件资料应当可批量上传更改，且可进行批量导出下载；（如在台账信息中针对某一台设备进行导出时，可导出其从入厂到报废的所有信息），内部界面应当针对每类型设备建立通用模型，以便展示其他信息，如检修记录、备件汇总、运行记录、维护记录、调试记录、状态变更等。</w:t>
      </w:r>
    </w:p>
    <w:p w14:paraId="2C496BD8">
      <w:pPr>
        <w:spacing w:line="360" w:lineRule="auto"/>
        <w:ind w:firstLine="480"/>
        <w:rPr>
          <w:rFonts w:cs="宋体"/>
          <w:bCs/>
          <w:kern w:val="2"/>
          <w:szCs w:val="24"/>
        </w:rPr>
      </w:pPr>
      <w:r>
        <w:rPr>
          <w:rFonts w:hint="eastAsia" w:cs="宋体"/>
          <w:bCs/>
          <w:kern w:val="2"/>
          <w:szCs w:val="24"/>
        </w:rPr>
        <w:t>5.具备相应统计报表功能，该功能应当结合后续一些模块信息，接入相应机泵运行信息，消缺处理等，从而统计如在用设备台数，备用设备台数，故障设备台数等，统计报表应当方便自定义编辑制作。</w:t>
      </w:r>
    </w:p>
    <w:p w14:paraId="17BB192F">
      <w:pPr>
        <w:spacing w:line="360" w:lineRule="auto"/>
        <w:ind w:firstLine="480"/>
        <w:rPr>
          <w:rFonts w:cs="宋体"/>
          <w:bCs/>
          <w:kern w:val="2"/>
          <w:szCs w:val="24"/>
        </w:rPr>
      </w:pPr>
      <w:r>
        <w:rPr>
          <w:rFonts w:hint="eastAsia" w:cs="宋体"/>
          <w:bCs/>
          <w:kern w:val="2"/>
          <w:szCs w:val="24"/>
        </w:rPr>
        <w:t>6.相应设备信息应当具备对应二维码，于现场进行粘贴，扫描后可查看对应设备信息；（相应保密措施）。</w:t>
      </w:r>
    </w:p>
    <w:p w14:paraId="7FC1E022">
      <w:pPr>
        <w:spacing w:line="360" w:lineRule="auto"/>
        <w:ind w:firstLine="482"/>
        <w:rPr>
          <w:rFonts w:cs="宋体"/>
          <w:bCs/>
          <w:kern w:val="2"/>
          <w:szCs w:val="24"/>
        </w:rPr>
      </w:pPr>
      <w:r>
        <w:rPr>
          <w:rFonts w:hint="eastAsia" w:cs="宋体"/>
          <w:b/>
          <w:kern w:val="2"/>
          <w:szCs w:val="24"/>
        </w:rPr>
        <w:t>操作：</w:t>
      </w:r>
      <w:r>
        <w:rPr>
          <w:rFonts w:hint="eastAsia" w:cs="宋体"/>
          <w:bCs/>
          <w:kern w:val="2"/>
          <w:szCs w:val="24"/>
        </w:rPr>
        <w:t>各专业技术员上传维护各自台账，完成台账相应提醒设置及资料更新。</w:t>
      </w:r>
    </w:p>
    <w:p w14:paraId="4BC0842B">
      <w:pPr>
        <w:spacing w:line="360" w:lineRule="auto"/>
        <w:ind w:firstLine="482"/>
        <w:rPr>
          <w:rFonts w:cs="宋体"/>
          <w:bCs/>
          <w:kern w:val="2"/>
          <w:szCs w:val="24"/>
        </w:rPr>
      </w:pPr>
      <w:r>
        <w:rPr>
          <w:rFonts w:hint="eastAsia" w:cs="宋体"/>
          <w:b/>
          <w:kern w:val="2"/>
          <w:szCs w:val="24"/>
        </w:rPr>
        <w:t>权限：</w:t>
      </w:r>
      <w:r>
        <w:rPr>
          <w:rFonts w:hint="eastAsia" w:cs="宋体"/>
          <w:bCs/>
          <w:kern w:val="2"/>
          <w:szCs w:val="24"/>
        </w:rPr>
        <w:t>各专业技术员具备相应专业台账修改权限，其他专业文件查看权限，所有人具备查看权限。</w:t>
      </w:r>
    </w:p>
    <w:p w14:paraId="339B3D5D">
      <w:pPr>
        <w:spacing w:line="360" w:lineRule="auto"/>
        <w:ind w:firstLine="482"/>
        <w:jc w:val="left"/>
        <w:outlineLvl w:val="2"/>
        <w:rPr>
          <w:rFonts w:cs="宋体"/>
          <w:b/>
          <w:kern w:val="2"/>
          <w:szCs w:val="24"/>
        </w:rPr>
      </w:pPr>
      <w:bookmarkStart w:id="169" w:name="_Toc10526"/>
      <w:r>
        <w:rPr>
          <w:rFonts w:hint="eastAsia" w:cs="宋体"/>
          <w:b/>
          <w:kern w:val="2"/>
          <w:szCs w:val="24"/>
        </w:rPr>
        <w:t>2.设备前期管理</w:t>
      </w:r>
      <w:bookmarkEnd w:id="169"/>
    </w:p>
    <w:p w14:paraId="658DE728">
      <w:pPr>
        <w:spacing w:line="360" w:lineRule="auto"/>
        <w:ind w:firstLine="480"/>
        <w:rPr>
          <w:rFonts w:hint="eastAsia"/>
        </w:rPr>
      </w:pPr>
      <w:r>
        <w:rPr>
          <w:rFonts w:hint="eastAsia"/>
          <w:szCs w:val="24"/>
        </w:rPr>
        <w:t>此部分为设备管理的前期部分，</w:t>
      </w:r>
      <w:r>
        <w:rPr>
          <w:rFonts w:hint="eastAsia"/>
        </w:rPr>
        <w:t>前期管理支持设备选型、采购、安装、验收的标准化和流程化管理；支持对接第三方系统（BIP）实现对采购单、开箱验收单等表单的自动导入和管理。</w:t>
      </w:r>
    </w:p>
    <w:p w14:paraId="0FE9E996">
      <w:pPr>
        <w:spacing w:line="360" w:lineRule="auto"/>
        <w:ind w:firstLine="482"/>
        <w:outlineLvl w:val="3"/>
        <w:rPr>
          <w:b/>
          <w:bCs/>
          <w:szCs w:val="24"/>
        </w:rPr>
      </w:pPr>
      <w:bookmarkStart w:id="170" w:name="_Toc179921445"/>
      <w:bookmarkStart w:id="171" w:name="_Toc23277"/>
      <w:r>
        <w:rPr>
          <w:rFonts w:hint="eastAsia"/>
          <w:b/>
          <w:bCs/>
          <w:szCs w:val="24"/>
        </w:rPr>
        <w:t>2.1物编管理</w:t>
      </w:r>
      <w:bookmarkEnd w:id="170"/>
      <w:bookmarkEnd w:id="171"/>
    </w:p>
    <w:p w14:paraId="1BB2E33B">
      <w:pPr>
        <w:pStyle w:val="6"/>
        <w:numPr>
          <w:ilvl w:val="4"/>
          <w:numId w:val="0"/>
        </w:numPr>
        <w:ind w:left="485" w:leftChars="202"/>
        <w:rPr>
          <w:rFonts w:asciiTheme="minorEastAsia" w:hAnsiTheme="minorEastAsia"/>
          <w:color w:val="auto"/>
        </w:rPr>
      </w:pPr>
      <w:r>
        <w:rPr>
          <w:rFonts w:hint="eastAsia" w:asciiTheme="minorEastAsia" w:hAnsiTheme="minorEastAsia"/>
          <w:color w:val="auto"/>
        </w:rPr>
        <w:t>2.1.1物编申请</w:t>
      </w:r>
    </w:p>
    <w:p w14:paraId="38C409B4">
      <w:pPr>
        <w:spacing w:line="360" w:lineRule="auto"/>
        <w:ind w:firstLine="480"/>
        <w:rPr>
          <w:szCs w:val="24"/>
        </w:rPr>
      </w:pPr>
      <w:r>
        <w:rPr>
          <w:rFonts w:hint="eastAsia"/>
          <w:szCs w:val="24"/>
        </w:rPr>
        <w:t>各专业指派一名技术员进行物编申请工作，物编申请需符合公司物编申请规定。此处在设备管理系统中根据公司主数据管理平台中所需信息进行填写，由主数据平台进行申请（或者跳转到主数据也可，但数据需要关联），申请完成后，由设备管理系统并入自身物编库内，后续于设备管理系统中发起采购时，匹配设备管理系统物编库中的物编。</w:t>
      </w:r>
    </w:p>
    <w:p w14:paraId="53B50BDE">
      <w:pPr>
        <w:spacing w:line="360" w:lineRule="auto"/>
        <w:ind w:firstLine="482"/>
        <w:rPr>
          <w:b/>
          <w:bCs/>
          <w:szCs w:val="24"/>
        </w:rPr>
      </w:pPr>
      <w:r>
        <w:rPr>
          <w:rFonts w:hint="eastAsia"/>
          <w:b/>
          <w:bCs/>
          <w:szCs w:val="24"/>
        </w:rPr>
        <w:t>要求：</w:t>
      </w:r>
    </w:p>
    <w:p w14:paraId="63951671">
      <w:pPr>
        <w:spacing w:line="360" w:lineRule="auto"/>
        <w:ind w:firstLine="480"/>
        <w:rPr>
          <w:szCs w:val="24"/>
        </w:rPr>
      </w:pPr>
      <w:r>
        <w:rPr>
          <w:rFonts w:hint="eastAsia"/>
          <w:szCs w:val="24"/>
        </w:rPr>
        <w:t>1.对所有申请的物编，由主数据管理平台申请完成后，自动合并至设备管理系统中的物编库；</w:t>
      </w:r>
    </w:p>
    <w:p w14:paraId="698AE23D">
      <w:pPr>
        <w:spacing w:line="360" w:lineRule="auto"/>
        <w:ind w:firstLine="480"/>
        <w:rPr>
          <w:szCs w:val="24"/>
        </w:rPr>
      </w:pPr>
      <w:r>
        <w:rPr>
          <w:rFonts w:hint="eastAsia"/>
          <w:szCs w:val="24"/>
        </w:rPr>
        <w:t xml:space="preserve">2.物编库内的物编应当能引用BIP系统中对应的备件数量，并实时更新显示； </w:t>
      </w:r>
    </w:p>
    <w:p w14:paraId="10161B4D">
      <w:pPr>
        <w:spacing w:line="360" w:lineRule="auto"/>
        <w:ind w:firstLine="482"/>
        <w:rPr>
          <w:szCs w:val="24"/>
        </w:rPr>
      </w:pPr>
      <w:r>
        <w:rPr>
          <w:rFonts w:hint="eastAsia"/>
          <w:b/>
          <w:bCs/>
          <w:szCs w:val="24"/>
        </w:rPr>
        <w:t>权限：</w:t>
      </w:r>
      <w:r>
        <w:rPr>
          <w:rFonts w:hint="eastAsia"/>
          <w:szCs w:val="24"/>
        </w:rPr>
        <w:t>1.各专业一名技术员申请权限。</w:t>
      </w:r>
    </w:p>
    <w:p w14:paraId="3B2203FB">
      <w:pPr>
        <w:pStyle w:val="6"/>
        <w:numPr>
          <w:ilvl w:val="4"/>
          <w:numId w:val="0"/>
        </w:numPr>
        <w:ind w:left="485" w:leftChars="202"/>
        <w:rPr>
          <w:rFonts w:asciiTheme="minorEastAsia" w:hAnsiTheme="minorEastAsia"/>
          <w:color w:val="auto"/>
        </w:rPr>
      </w:pPr>
      <w:r>
        <w:rPr>
          <w:rFonts w:hint="eastAsia" w:asciiTheme="minorEastAsia" w:hAnsiTheme="minorEastAsia"/>
          <w:color w:val="auto"/>
        </w:rPr>
        <w:t>2.1.2 物编库</w:t>
      </w:r>
    </w:p>
    <w:p w14:paraId="22FF9811">
      <w:pPr>
        <w:spacing w:line="360" w:lineRule="auto"/>
        <w:ind w:firstLine="480"/>
        <w:rPr>
          <w:szCs w:val="24"/>
        </w:rPr>
      </w:pPr>
      <w:r>
        <w:rPr>
          <w:rFonts w:hint="eastAsia"/>
          <w:szCs w:val="24"/>
        </w:rPr>
        <w:t>此处展示查询所有物编信息，包括规格型号、备件名称、税率等。</w:t>
      </w:r>
    </w:p>
    <w:p w14:paraId="42797C86">
      <w:pPr>
        <w:spacing w:line="360" w:lineRule="auto"/>
        <w:ind w:firstLine="482"/>
        <w:rPr>
          <w:b/>
          <w:bCs/>
          <w:szCs w:val="24"/>
        </w:rPr>
      </w:pPr>
      <w:r>
        <w:rPr>
          <w:rFonts w:hint="eastAsia"/>
          <w:b/>
          <w:bCs/>
          <w:szCs w:val="24"/>
        </w:rPr>
        <w:t>要求：</w:t>
      </w:r>
    </w:p>
    <w:p w14:paraId="49AAEAEF">
      <w:pPr>
        <w:spacing w:line="360" w:lineRule="auto"/>
        <w:ind w:firstLine="480"/>
        <w:rPr>
          <w:szCs w:val="24"/>
        </w:rPr>
      </w:pPr>
      <w:r>
        <w:rPr>
          <w:rFonts w:hint="eastAsia"/>
          <w:szCs w:val="24"/>
        </w:rPr>
        <w:t>1.字符检索应当非顺序匹配，包含模糊搜索，精确搜索等。</w:t>
      </w:r>
    </w:p>
    <w:p w14:paraId="3D03ACE3">
      <w:pPr>
        <w:spacing w:line="360" w:lineRule="auto"/>
        <w:ind w:firstLine="480"/>
        <w:rPr>
          <w:szCs w:val="24"/>
        </w:rPr>
      </w:pPr>
      <w:r>
        <w:rPr>
          <w:rFonts w:hint="eastAsia"/>
          <w:szCs w:val="24"/>
        </w:rPr>
        <w:t>2.物编库内的所有物编在后续需要输入物编时应当能根据输入的规格型号（部分）等进行模糊/精确匹配，自动弹出；</w:t>
      </w:r>
    </w:p>
    <w:p w14:paraId="510C670A">
      <w:pPr>
        <w:spacing w:line="360" w:lineRule="auto"/>
        <w:ind w:firstLine="480"/>
        <w:rPr>
          <w:szCs w:val="24"/>
        </w:rPr>
      </w:pPr>
      <w:r>
        <w:rPr>
          <w:rFonts w:hint="eastAsia"/>
          <w:szCs w:val="24"/>
        </w:rPr>
        <w:t>3.可根据模板批量进行物编导入及导出（需设置审批），导入后的物编应当由系统自动与主数据平台进行核对，同时引用BIP系统中的备件数量；</w:t>
      </w:r>
    </w:p>
    <w:p w14:paraId="63D9DE05">
      <w:pPr>
        <w:spacing w:line="360" w:lineRule="auto"/>
        <w:ind w:firstLine="482"/>
        <w:outlineLvl w:val="3"/>
        <w:rPr>
          <w:b/>
          <w:bCs/>
          <w:szCs w:val="24"/>
        </w:rPr>
      </w:pPr>
      <w:bookmarkStart w:id="172" w:name="_Toc5645"/>
      <w:bookmarkStart w:id="173" w:name="_Toc179921446"/>
      <w:r>
        <w:rPr>
          <w:rFonts w:hint="eastAsia"/>
          <w:b/>
          <w:bCs/>
          <w:szCs w:val="24"/>
        </w:rPr>
        <w:t>2.2设备申购</w:t>
      </w:r>
      <w:bookmarkEnd w:id="172"/>
      <w:bookmarkEnd w:id="173"/>
    </w:p>
    <w:p w14:paraId="38275B88">
      <w:pPr>
        <w:spacing w:line="360" w:lineRule="auto"/>
        <w:ind w:firstLine="480"/>
        <w:rPr>
          <w:szCs w:val="24"/>
        </w:rPr>
      </w:pPr>
      <w:r>
        <w:rPr>
          <w:rFonts w:hint="eastAsia"/>
          <w:szCs w:val="24"/>
        </w:rPr>
        <w:t>采购：普通采购及紧急采购均走BIP系统。系统于每月月底（时间可调整）汇总编制当月所有采购需求，形成每月采购需求汇总表，结合后续设备到货验收情况，对采购需求汇总表进行实时更新，体现每月采购需求到货实时情况，以入库作为完结。</w:t>
      </w:r>
    </w:p>
    <w:p w14:paraId="58EF3198">
      <w:pPr>
        <w:spacing w:line="360" w:lineRule="auto"/>
        <w:ind w:firstLine="482"/>
        <w:rPr>
          <w:b/>
          <w:bCs/>
          <w:szCs w:val="24"/>
        </w:rPr>
      </w:pPr>
      <w:r>
        <w:rPr>
          <w:rFonts w:hint="eastAsia"/>
          <w:b/>
          <w:bCs/>
          <w:szCs w:val="24"/>
        </w:rPr>
        <w:t>要求：</w:t>
      </w:r>
    </w:p>
    <w:p w14:paraId="6B4E6F1B">
      <w:pPr>
        <w:spacing w:line="360" w:lineRule="auto"/>
        <w:ind w:firstLine="480"/>
        <w:rPr>
          <w:szCs w:val="24"/>
        </w:rPr>
      </w:pPr>
      <w:r>
        <w:rPr>
          <w:rFonts w:hint="eastAsia"/>
          <w:szCs w:val="24"/>
        </w:rPr>
        <w:t>1.与公司采购BIP系统进行数据连接，系统每月固定时间节点（可更改）自动汇总所有专业的采购申请；</w:t>
      </w:r>
    </w:p>
    <w:p w14:paraId="3B094550">
      <w:pPr>
        <w:spacing w:line="360" w:lineRule="auto"/>
        <w:ind w:firstLine="480"/>
        <w:rPr>
          <w:szCs w:val="24"/>
        </w:rPr>
      </w:pPr>
      <w:r>
        <w:rPr>
          <w:rFonts w:hint="eastAsia"/>
          <w:szCs w:val="24"/>
        </w:rPr>
        <w:t>2.系统应当能结合后续的到货验收进行对比核对输出：到货情况，采购金额，采购类型等数据报表，且可根据后续到货验收实时更新；</w:t>
      </w:r>
    </w:p>
    <w:p w14:paraId="6DB4D41E">
      <w:pPr>
        <w:spacing w:line="360" w:lineRule="auto"/>
        <w:ind w:firstLine="480"/>
        <w:rPr>
          <w:szCs w:val="24"/>
        </w:rPr>
      </w:pPr>
      <w:r>
        <w:rPr>
          <w:rFonts w:hint="eastAsia"/>
          <w:szCs w:val="24"/>
        </w:rPr>
        <w:t>3.可形成相应统计报表；如自定义区间统计采购费用、各类采购类型及相应费用、各类型备件到货时间，出入库情况，对比考核；模糊搜索等；</w:t>
      </w:r>
    </w:p>
    <w:p w14:paraId="4D3A7CBB">
      <w:pPr>
        <w:spacing w:line="360" w:lineRule="auto"/>
        <w:ind w:firstLine="480"/>
        <w:rPr>
          <w:szCs w:val="24"/>
        </w:rPr>
      </w:pPr>
      <w:r>
        <w:rPr>
          <w:rFonts w:hint="eastAsia"/>
          <w:szCs w:val="24"/>
        </w:rPr>
        <w:t>4.物编库内每件备件应当具有相应到货周期设定，后续系统应当依据后续对应备件采购提出后至到货入库的时间，进行到货周期的自动调整。</w:t>
      </w:r>
    </w:p>
    <w:p w14:paraId="57CFF942">
      <w:pPr>
        <w:spacing w:line="360" w:lineRule="auto"/>
        <w:ind w:firstLine="482"/>
        <w:rPr>
          <w:szCs w:val="24"/>
        </w:rPr>
      </w:pPr>
      <w:r>
        <w:rPr>
          <w:rFonts w:hint="eastAsia"/>
          <w:b/>
          <w:bCs/>
          <w:szCs w:val="24"/>
        </w:rPr>
        <w:t>操作：</w:t>
      </w:r>
      <w:r>
        <w:rPr>
          <w:rFonts w:hint="eastAsia"/>
          <w:szCs w:val="24"/>
        </w:rPr>
        <w:t>1.查看每月采购情况汇总；</w:t>
      </w:r>
    </w:p>
    <w:p w14:paraId="609A4552">
      <w:pPr>
        <w:spacing w:line="360" w:lineRule="auto"/>
        <w:ind w:firstLine="482"/>
        <w:rPr>
          <w:szCs w:val="24"/>
        </w:rPr>
      </w:pPr>
      <w:r>
        <w:rPr>
          <w:rFonts w:hint="eastAsia"/>
          <w:b/>
          <w:bCs/>
          <w:szCs w:val="24"/>
        </w:rPr>
        <w:t>权限：</w:t>
      </w:r>
      <w:r>
        <w:rPr>
          <w:rFonts w:hint="eastAsia"/>
          <w:szCs w:val="24"/>
        </w:rPr>
        <w:t>1.查看权限；</w:t>
      </w:r>
    </w:p>
    <w:p w14:paraId="19624DA8">
      <w:pPr>
        <w:spacing w:line="360" w:lineRule="auto"/>
        <w:ind w:firstLine="482"/>
        <w:outlineLvl w:val="3"/>
        <w:rPr>
          <w:b/>
          <w:bCs/>
          <w:szCs w:val="24"/>
        </w:rPr>
      </w:pPr>
      <w:bookmarkStart w:id="174" w:name="_Toc179921447"/>
      <w:bookmarkStart w:id="175" w:name="_Toc12983"/>
      <w:r>
        <w:rPr>
          <w:rFonts w:hint="eastAsia"/>
          <w:b/>
          <w:bCs/>
          <w:szCs w:val="24"/>
        </w:rPr>
        <w:t>2.3设备到货验收</w:t>
      </w:r>
      <w:bookmarkEnd w:id="174"/>
      <w:bookmarkEnd w:id="175"/>
    </w:p>
    <w:p w14:paraId="6B49EAF7">
      <w:pPr>
        <w:spacing w:line="360" w:lineRule="auto"/>
        <w:ind w:firstLine="480"/>
        <w:rPr>
          <w:szCs w:val="24"/>
        </w:rPr>
      </w:pPr>
      <w:r>
        <w:rPr>
          <w:rFonts w:hint="eastAsia"/>
          <w:szCs w:val="24"/>
        </w:rPr>
        <w:t>设备及备件到货后，由供销部于设备管理系统上发起到货验收单，同时供销线下提供相应到货验收单，由仓库确认相应设备及备件数量，确认无误后填写纸质验收单，随后于设备管理系统上进行确认，流转至下一级验收；随后由相应专业人员进行验收，确认相应文件资料及设备备件无误，并将随机资料上传至设备管理系统中，相应备件质量合格证应当由系统体现于流程中，随后由申购人进行验收，最终由仓库进行入库。</w:t>
      </w:r>
    </w:p>
    <w:p w14:paraId="0DC7E3C5">
      <w:pPr>
        <w:spacing w:line="360" w:lineRule="auto"/>
        <w:ind w:firstLine="482"/>
        <w:rPr>
          <w:b/>
          <w:bCs/>
          <w:szCs w:val="24"/>
        </w:rPr>
      </w:pPr>
      <w:r>
        <w:rPr>
          <w:rFonts w:hint="eastAsia"/>
          <w:b/>
          <w:bCs/>
          <w:szCs w:val="24"/>
        </w:rPr>
        <w:t>流程示意：</w:t>
      </w:r>
    </w:p>
    <w:p w14:paraId="4879AE8B">
      <w:pPr>
        <w:spacing w:line="360" w:lineRule="auto"/>
        <w:ind w:firstLine="482"/>
        <w:rPr>
          <w:b/>
          <w:bCs/>
          <w:szCs w:val="24"/>
        </w:rPr>
      </w:pPr>
      <w:r>
        <w:rPr>
          <w:rFonts w:hint="eastAsia"/>
          <w:b/>
          <w:bCs/>
          <w:szCs w:val="24"/>
        </w:rPr>
        <w:drawing>
          <wp:anchor distT="0" distB="0" distL="114300" distR="114300" simplePos="0" relativeHeight="251659264" behindDoc="0" locked="0" layoutInCell="1" allowOverlap="1">
            <wp:simplePos x="0" y="0"/>
            <wp:positionH relativeFrom="margin">
              <wp:posOffset>-63500</wp:posOffset>
            </wp:positionH>
            <wp:positionV relativeFrom="paragraph">
              <wp:posOffset>53975</wp:posOffset>
            </wp:positionV>
            <wp:extent cx="5523865" cy="2138045"/>
            <wp:effectExtent l="0" t="0" r="635" b="8255"/>
            <wp:wrapTopAndBottom/>
            <wp:docPr id="21406934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0693418" name="图片 1"/>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5523865" cy="2138045"/>
                    </a:xfrm>
                    <a:prstGeom prst="rect">
                      <a:avLst/>
                    </a:prstGeom>
                  </pic:spPr>
                </pic:pic>
              </a:graphicData>
            </a:graphic>
          </wp:anchor>
        </w:drawing>
      </w:r>
      <w:r>
        <w:rPr>
          <w:rFonts w:hint="eastAsia"/>
          <w:b/>
          <w:bCs/>
          <w:szCs w:val="24"/>
        </w:rPr>
        <w:t>要求：</w:t>
      </w:r>
    </w:p>
    <w:p w14:paraId="7F29EA40">
      <w:pPr>
        <w:spacing w:line="360" w:lineRule="auto"/>
        <w:ind w:firstLine="480"/>
        <w:rPr>
          <w:szCs w:val="24"/>
        </w:rPr>
      </w:pPr>
      <w:r>
        <w:rPr>
          <w:rFonts w:hint="eastAsia"/>
          <w:szCs w:val="24"/>
        </w:rPr>
        <w:t>1.与设备申购进行一一对应，信息对应；</w:t>
      </w:r>
    </w:p>
    <w:p w14:paraId="060C9EB3">
      <w:pPr>
        <w:spacing w:line="360" w:lineRule="auto"/>
        <w:ind w:firstLine="480"/>
        <w:rPr>
          <w:szCs w:val="24"/>
        </w:rPr>
      </w:pPr>
      <w:r>
        <w:rPr>
          <w:rFonts w:hint="eastAsia"/>
          <w:szCs w:val="24"/>
        </w:rPr>
        <w:t>2.相应验收流程于手机APP上进行现场验收时，可直接采用app进行拍照上传，其验收电子表单内应当设定相应文件框，按框拍照上传相应所需文件，及文件上传要求等。</w:t>
      </w:r>
    </w:p>
    <w:p w14:paraId="2D30FFD6">
      <w:pPr>
        <w:spacing w:line="360" w:lineRule="auto"/>
        <w:ind w:firstLine="480"/>
        <w:rPr>
          <w:szCs w:val="24"/>
        </w:rPr>
      </w:pPr>
      <w:r>
        <w:rPr>
          <w:rFonts w:hint="eastAsia"/>
          <w:szCs w:val="24"/>
        </w:rPr>
        <w:t>3.最终申购人验收完成，仓库进行入库时应当需要将填写完成的验收单，上传至流程中，方可闭环。</w:t>
      </w:r>
    </w:p>
    <w:p w14:paraId="4BD3812B">
      <w:pPr>
        <w:spacing w:line="360" w:lineRule="auto"/>
        <w:ind w:firstLine="480"/>
        <w:rPr>
          <w:szCs w:val="24"/>
        </w:rPr>
      </w:pPr>
      <w:r>
        <w:rPr>
          <w:rFonts w:hint="eastAsia"/>
          <w:szCs w:val="24"/>
        </w:rPr>
        <w:t>4.相应设备及备件验收完成后，该流程应当进入该设备及备件对应的文件资料库内进行留底，同时可在备件对应文件资料处补充上传相应文件资料。</w:t>
      </w:r>
    </w:p>
    <w:p w14:paraId="0C0F32F4">
      <w:pPr>
        <w:spacing w:line="360" w:lineRule="auto"/>
        <w:ind w:firstLine="480"/>
        <w:rPr>
          <w:szCs w:val="24"/>
        </w:rPr>
      </w:pPr>
      <w:r>
        <w:rPr>
          <w:rFonts w:hint="eastAsia"/>
          <w:szCs w:val="24"/>
        </w:rPr>
        <w:t>5.每月归档当月所有验收记录，并可自定义时间区间形成相应数据报表（各专业验收数量，相应入库金额，与前述申购记录进行数据交互）</w:t>
      </w:r>
    </w:p>
    <w:p w14:paraId="3E22766F">
      <w:pPr>
        <w:spacing w:line="360" w:lineRule="auto"/>
        <w:ind w:firstLine="482"/>
        <w:rPr>
          <w:szCs w:val="24"/>
        </w:rPr>
      </w:pPr>
      <w:r>
        <w:rPr>
          <w:rFonts w:hint="eastAsia"/>
          <w:b/>
          <w:bCs/>
          <w:szCs w:val="24"/>
        </w:rPr>
        <w:t>权限：</w:t>
      </w:r>
      <w:r>
        <w:rPr>
          <w:rFonts w:hint="eastAsia"/>
          <w:szCs w:val="24"/>
        </w:rPr>
        <w:t>1.各自节点审批意见及退回权限。2.相应验收组上传修改文件资料权限。</w:t>
      </w:r>
    </w:p>
    <w:p w14:paraId="4B265837">
      <w:pPr>
        <w:spacing w:line="360" w:lineRule="auto"/>
        <w:ind w:firstLine="482"/>
        <w:outlineLvl w:val="3"/>
        <w:rPr>
          <w:b/>
          <w:bCs/>
          <w:szCs w:val="24"/>
        </w:rPr>
      </w:pPr>
      <w:bookmarkStart w:id="176" w:name="_Toc29576"/>
      <w:bookmarkStart w:id="177" w:name="_Toc179921448"/>
      <w:r>
        <w:rPr>
          <w:rFonts w:hint="eastAsia"/>
          <w:b/>
          <w:bCs/>
          <w:szCs w:val="24"/>
        </w:rPr>
        <w:t>2.4安装调试验收</w:t>
      </w:r>
      <w:bookmarkEnd w:id="176"/>
      <w:bookmarkEnd w:id="177"/>
    </w:p>
    <w:p w14:paraId="1913124B">
      <w:pPr>
        <w:spacing w:line="360" w:lineRule="auto"/>
        <w:ind w:firstLine="480"/>
        <w:rPr>
          <w:szCs w:val="24"/>
        </w:rPr>
      </w:pPr>
      <w:r>
        <w:rPr>
          <w:rFonts w:hint="eastAsia"/>
          <w:szCs w:val="24"/>
        </w:rPr>
        <w:t>主要针对于设备更新，技改技措等项目的安装验收，在完成云平台相应立项后，应当将信息推送至设备管理系统资产管理台账中，物编库中无物料编码应采用物编申请流程进行申请，将物编数据补充至资产管理台账（物编库内）中。</w:t>
      </w:r>
    </w:p>
    <w:p w14:paraId="0BB198B2">
      <w:pPr>
        <w:spacing w:line="360" w:lineRule="auto"/>
        <w:ind w:firstLine="480"/>
        <w:rPr>
          <w:szCs w:val="24"/>
        </w:rPr>
      </w:pPr>
      <w:r>
        <w:rPr>
          <w:rFonts w:hint="eastAsia"/>
          <w:szCs w:val="24"/>
        </w:rPr>
        <w:t>此时设备状态应当为申购阶段（在信息填写时可选择申购阶段，安装阶段；到货阶段由系统自动关联到货验收单进行调整），由技术员发起采购，随后到货验收，相应验收流程及表单同上述，安装阶段调试阶段应当具有如下记录，并上传至对应设备资产信息文件资料内：相应调试验收文件目录（由各专业进行补充）</w:t>
      </w:r>
    </w:p>
    <w:p w14:paraId="373BA926">
      <w:pPr>
        <w:spacing w:line="360" w:lineRule="auto"/>
        <w:ind w:firstLine="480"/>
        <w:rPr>
          <w:szCs w:val="24"/>
        </w:rPr>
      </w:pPr>
      <w:r>
        <w:rPr>
          <w:rFonts w:hint="eastAsia"/>
          <w:szCs w:val="24"/>
        </w:rPr>
        <w:t>土建基础验收合格记录</w:t>
      </w:r>
    </w:p>
    <w:p w14:paraId="06D4F166">
      <w:pPr>
        <w:spacing w:line="360" w:lineRule="auto"/>
        <w:ind w:firstLine="480"/>
        <w:rPr>
          <w:szCs w:val="24"/>
        </w:rPr>
      </w:pPr>
      <w:r>
        <w:rPr>
          <w:rFonts w:hint="eastAsia"/>
          <w:szCs w:val="24"/>
        </w:rPr>
        <w:t>设备机械安装合格记录</w:t>
      </w:r>
    </w:p>
    <w:p w14:paraId="323D7A52">
      <w:pPr>
        <w:spacing w:line="360" w:lineRule="auto"/>
        <w:ind w:firstLine="480"/>
        <w:rPr>
          <w:szCs w:val="24"/>
        </w:rPr>
      </w:pPr>
      <w:r>
        <w:rPr>
          <w:rFonts w:hint="eastAsia"/>
          <w:szCs w:val="24"/>
        </w:rPr>
        <w:t>设备试车合格记录</w:t>
      </w:r>
    </w:p>
    <w:p w14:paraId="7B8A7254">
      <w:pPr>
        <w:spacing w:line="360" w:lineRule="auto"/>
        <w:ind w:firstLine="482"/>
        <w:rPr>
          <w:b/>
          <w:bCs/>
          <w:szCs w:val="24"/>
        </w:rPr>
      </w:pPr>
      <w:r>
        <w:rPr>
          <w:rFonts w:hint="eastAsia"/>
          <w:b/>
          <w:bCs/>
          <w:szCs w:val="24"/>
        </w:rPr>
        <w:t>要求：</w:t>
      </w:r>
    </w:p>
    <w:p w14:paraId="0950F8DB">
      <w:pPr>
        <w:spacing w:line="360" w:lineRule="auto"/>
        <w:ind w:firstLine="480"/>
        <w:rPr>
          <w:szCs w:val="24"/>
        </w:rPr>
      </w:pPr>
      <w:r>
        <w:rPr>
          <w:rFonts w:hint="eastAsia"/>
          <w:szCs w:val="24"/>
        </w:rPr>
        <w:t>1.满足与OA、云平台、BIP、主数据平台的数据交互；</w:t>
      </w:r>
    </w:p>
    <w:p w14:paraId="02679240">
      <w:pPr>
        <w:spacing w:line="360" w:lineRule="auto"/>
        <w:ind w:firstLine="480"/>
        <w:rPr>
          <w:szCs w:val="24"/>
        </w:rPr>
      </w:pPr>
      <w:r>
        <w:rPr>
          <w:rFonts w:hint="eastAsia"/>
          <w:szCs w:val="24"/>
        </w:rPr>
        <w:t>2.申购阶段及安装阶段，应当可以设置时间提醒，每月相应进度填报及所有申购和安装设备的信息汇总展示于该模块首页；安装调试完成后，于设备管理系统发起相应验收，跳转至OA进行验收审批，验收流程结束后，相应资料归档到对应台账信息资料目录内；</w:t>
      </w:r>
    </w:p>
    <w:p w14:paraId="5A624690">
      <w:pPr>
        <w:spacing w:line="360" w:lineRule="auto"/>
        <w:ind w:firstLine="480"/>
        <w:rPr>
          <w:szCs w:val="24"/>
        </w:rPr>
      </w:pPr>
      <w:r>
        <w:rPr>
          <w:rFonts w:hint="eastAsia"/>
          <w:szCs w:val="24"/>
        </w:rPr>
        <w:t>3.存档汇总记录每年所有设备更新，技改技措记录。</w:t>
      </w:r>
    </w:p>
    <w:p w14:paraId="0DB37536">
      <w:pPr>
        <w:spacing w:line="360" w:lineRule="auto"/>
        <w:ind w:firstLine="482"/>
        <w:rPr>
          <w:rFonts w:hint="eastAsia"/>
          <w:szCs w:val="24"/>
        </w:rPr>
      </w:pPr>
      <w:r>
        <w:rPr>
          <w:rFonts w:hint="eastAsia"/>
          <w:b/>
          <w:bCs/>
          <w:szCs w:val="24"/>
        </w:rPr>
        <w:t>操作：</w:t>
      </w:r>
      <w:r>
        <w:rPr>
          <w:rFonts w:hint="eastAsia"/>
          <w:szCs w:val="24"/>
        </w:rPr>
        <w:t>1.技术员补充完善相应资产信息，上传相应验收记录至流程中，审批；</w:t>
      </w:r>
    </w:p>
    <w:p w14:paraId="38A44C3E">
      <w:pPr>
        <w:spacing w:line="360" w:lineRule="auto"/>
        <w:ind w:firstLine="482"/>
        <w:rPr>
          <w:szCs w:val="24"/>
        </w:rPr>
      </w:pPr>
      <w:r>
        <w:rPr>
          <w:rFonts w:hint="eastAsia"/>
          <w:b/>
          <w:bCs/>
          <w:szCs w:val="24"/>
        </w:rPr>
        <w:t>权限：</w:t>
      </w:r>
      <w:r>
        <w:rPr>
          <w:rFonts w:hint="eastAsia"/>
          <w:szCs w:val="24"/>
        </w:rPr>
        <w:t>1.技术员完善信息及发起验收。</w:t>
      </w:r>
    </w:p>
    <w:p w14:paraId="120DC623">
      <w:pPr>
        <w:spacing w:line="360" w:lineRule="auto"/>
        <w:ind w:firstLine="482"/>
        <w:outlineLvl w:val="3"/>
        <w:rPr>
          <w:b/>
          <w:bCs/>
          <w:szCs w:val="24"/>
        </w:rPr>
      </w:pPr>
      <w:bookmarkStart w:id="178" w:name="_Toc10715"/>
      <w:bookmarkStart w:id="179" w:name="_Toc179921449"/>
      <w:r>
        <w:rPr>
          <w:rFonts w:hint="eastAsia"/>
          <w:b/>
          <w:bCs/>
          <w:szCs w:val="24"/>
        </w:rPr>
        <w:t>2.5分级管理</w:t>
      </w:r>
      <w:bookmarkEnd w:id="178"/>
      <w:bookmarkEnd w:id="179"/>
    </w:p>
    <w:p w14:paraId="3576D780">
      <w:pPr>
        <w:spacing w:line="360" w:lineRule="auto"/>
        <w:ind w:firstLine="480"/>
        <w:rPr>
          <w:szCs w:val="24"/>
        </w:rPr>
      </w:pPr>
      <w:r>
        <w:rPr>
          <w:rFonts w:hint="eastAsia"/>
          <w:szCs w:val="24"/>
        </w:rPr>
        <w:tab/>
      </w:r>
      <w:r>
        <w:rPr>
          <w:rFonts w:hint="eastAsia"/>
          <w:szCs w:val="24"/>
        </w:rPr>
        <w:t>设备分级管理，流程放置于OA进行审批，此处仅进行OA流程审批单据数据读取，并更新至台账信息中分级信息，相应流程存档证明分级。</w:t>
      </w:r>
    </w:p>
    <w:p w14:paraId="2B36187A">
      <w:pPr>
        <w:spacing w:line="360" w:lineRule="auto"/>
        <w:ind w:firstLine="482"/>
        <w:outlineLvl w:val="3"/>
        <w:rPr>
          <w:b/>
          <w:bCs/>
          <w:szCs w:val="24"/>
        </w:rPr>
      </w:pPr>
      <w:bookmarkStart w:id="180" w:name="_Toc179921450"/>
      <w:bookmarkStart w:id="181" w:name="_Toc9468"/>
      <w:r>
        <w:rPr>
          <w:rFonts w:hint="eastAsia"/>
          <w:b/>
          <w:bCs/>
          <w:szCs w:val="24"/>
        </w:rPr>
        <w:t>2.6设备维护策略</w:t>
      </w:r>
      <w:bookmarkEnd w:id="180"/>
      <w:bookmarkEnd w:id="181"/>
    </w:p>
    <w:p w14:paraId="5555C507">
      <w:pPr>
        <w:spacing w:line="360" w:lineRule="auto"/>
        <w:ind w:firstLine="480"/>
        <w:rPr>
          <w:szCs w:val="24"/>
        </w:rPr>
      </w:pPr>
      <w:r>
        <w:rPr>
          <w:rFonts w:hint="eastAsia"/>
          <w:szCs w:val="24"/>
        </w:rPr>
        <w:t>于相关规定中制定相应维护策略，确定后于设备管理系统中发起策略修改新增，于OA系统中进行审批，审批流程结束后由设备管理系统进行读取录入。此处展示所有设备维护策略，包含一般设备维护策略、重要设备维护策略、关键设备维护策略、特种设备维护策略等；同时与后续定期维护模块进行信息互通，展示所有设备所有定期维保记录，</w:t>
      </w:r>
    </w:p>
    <w:p w14:paraId="56748D09">
      <w:pPr>
        <w:spacing w:line="360" w:lineRule="auto"/>
        <w:ind w:firstLine="482"/>
        <w:rPr>
          <w:b/>
          <w:bCs/>
          <w:szCs w:val="24"/>
        </w:rPr>
      </w:pPr>
      <w:r>
        <w:rPr>
          <w:rFonts w:hint="eastAsia"/>
          <w:b/>
          <w:bCs/>
          <w:szCs w:val="24"/>
        </w:rPr>
        <w:t>要求：</w:t>
      </w:r>
    </w:p>
    <w:p w14:paraId="505376E6">
      <w:pPr>
        <w:spacing w:line="360" w:lineRule="auto"/>
        <w:ind w:firstLine="480"/>
        <w:rPr>
          <w:szCs w:val="24"/>
        </w:rPr>
      </w:pPr>
      <w:r>
        <w:rPr>
          <w:rFonts w:hint="eastAsia"/>
          <w:szCs w:val="24"/>
        </w:rPr>
        <w:t>1.当需要修改维护策略时，在系统中发起，在OA中进行流程审批，随后由设备管理系统进行读取，并更新相应维护策略信息，并存档相应流程单据。</w:t>
      </w:r>
    </w:p>
    <w:p w14:paraId="2D052D39">
      <w:pPr>
        <w:spacing w:line="360" w:lineRule="auto"/>
        <w:ind w:firstLine="480"/>
        <w:rPr>
          <w:szCs w:val="24"/>
        </w:rPr>
      </w:pPr>
      <w:r>
        <w:rPr>
          <w:rFonts w:hint="eastAsia"/>
          <w:szCs w:val="24"/>
        </w:rPr>
        <w:t>2.相应定期维护记录还应当引用至资产台账信息中的日常维护策略文件夹。</w:t>
      </w:r>
    </w:p>
    <w:p w14:paraId="3AA4AB1D">
      <w:pPr>
        <w:spacing w:line="360" w:lineRule="auto"/>
        <w:ind w:firstLine="482"/>
        <w:rPr>
          <w:szCs w:val="24"/>
        </w:rPr>
      </w:pPr>
      <w:r>
        <w:rPr>
          <w:rFonts w:hint="eastAsia"/>
          <w:b/>
          <w:bCs/>
          <w:szCs w:val="24"/>
        </w:rPr>
        <w:t>操作：</w:t>
      </w:r>
      <w:r>
        <w:rPr>
          <w:rFonts w:hint="eastAsia"/>
          <w:szCs w:val="24"/>
        </w:rPr>
        <w:t>1.查看某台设备所有维护记录；</w:t>
      </w:r>
    </w:p>
    <w:p w14:paraId="5A455558">
      <w:pPr>
        <w:spacing w:line="360" w:lineRule="auto"/>
        <w:ind w:firstLine="482"/>
        <w:rPr>
          <w:szCs w:val="24"/>
        </w:rPr>
      </w:pPr>
      <w:r>
        <w:rPr>
          <w:rFonts w:hint="eastAsia"/>
          <w:b/>
          <w:bCs/>
          <w:szCs w:val="24"/>
        </w:rPr>
        <w:t>权限：</w:t>
      </w:r>
      <w:r>
        <w:rPr>
          <w:rFonts w:hint="eastAsia"/>
          <w:szCs w:val="24"/>
        </w:rPr>
        <w:t>1.相应专业技术员策略修改发起权限。</w:t>
      </w:r>
    </w:p>
    <w:p w14:paraId="30E7FAB2">
      <w:pPr>
        <w:pStyle w:val="6"/>
        <w:numPr>
          <w:ilvl w:val="4"/>
          <w:numId w:val="0"/>
        </w:numPr>
        <w:ind w:left="485" w:leftChars="202"/>
        <w:rPr>
          <w:rFonts w:asciiTheme="minorEastAsia" w:hAnsiTheme="minorEastAsia"/>
          <w:color w:val="auto"/>
        </w:rPr>
      </w:pPr>
      <w:r>
        <w:rPr>
          <w:rFonts w:hint="eastAsia" w:asciiTheme="minorEastAsia" w:hAnsiTheme="minorEastAsia"/>
          <w:color w:val="auto"/>
        </w:rPr>
        <w:t>2.6.1特种设备维护策略</w:t>
      </w:r>
    </w:p>
    <w:p w14:paraId="4E893D74">
      <w:pPr>
        <w:spacing w:line="360" w:lineRule="auto"/>
        <w:ind w:firstLine="480"/>
        <w:rPr>
          <w:rFonts w:cs="宋体"/>
          <w:bCs/>
          <w:kern w:val="2"/>
          <w:szCs w:val="24"/>
        </w:rPr>
      </w:pPr>
      <w:r>
        <w:rPr>
          <w:rFonts w:hint="eastAsia" w:cs="宋体"/>
          <w:bCs/>
          <w:kern w:val="2"/>
          <w:szCs w:val="24"/>
        </w:rPr>
        <w:tab/>
      </w:r>
      <w:r>
        <w:rPr>
          <w:rFonts w:hint="eastAsia" w:cs="宋体"/>
          <w:bCs/>
          <w:kern w:val="2"/>
          <w:szCs w:val="24"/>
        </w:rPr>
        <w:t>在此处展示所有特种设备及薄弱设施的检查内容及频次，由设备部专员进行设定后，自动推送至定期维护模块，进行检查闭环。</w:t>
      </w:r>
    </w:p>
    <w:p w14:paraId="02076D3A">
      <w:pPr>
        <w:spacing w:line="360" w:lineRule="auto"/>
        <w:ind w:firstLine="482"/>
        <w:rPr>
          <w:rFonts w:cs="宋体"/>
          <w:b/>
          <w:kern w:val="2"/>
          <w:szCs w:val="24"/>
        </w:rPr>
      </w:pPr>
      <w:r>
        <w:rPr>
          <w:rFonts w:hint="eastAsia" w:cs="宋体"/>
          <w:b/>
          <w:kern w:val="2"/>
          <w:szCs w:val="24"/>
        </w:rPr>
        <w:t>要求：</w:t>
      </w:r>
    </w:p>
    <w:p w14:paraId="71F5F4A0">
      <w:pPr>
        <w:spacing w:line="360" w:lineRule="auto"/>
        <w:ind w:firstLine="480"/>
        <w:rPr>
          <w:rFonts w:cs="宋体"/>
          <w:bCs/>
          <w:kern w:val="2"/>
          <w:szCs w:val="24"/>
        </w:rPr>
      </w:pPr>
      <w:r>
        <w:rPr>
          <w:rFonts w:hint="eastAsia" w:cs="宋体"/>
          <w:bCs/>
          <w:kern w:val="2"/>
          <w:szCs w:val="24"/>
        </w:rPr>
        <w:t>1.自动引用特种设备台账及薄弱设施台账中设备信息，便捷统一设置每台或每类设备的检查内容及频次；</w:t>
      </w:r>
    </w:p>
    <w:p w14:paraId="03B6A4ED">
      <w:pPr>
        <w:spacing w:line="360" w:lineRule="auto"/>
        <w:ind w:firstLine="482"/>
        <w:rPr>
          <w:rFonts w:cs="宋体"/>
          <w:bCs/>
          <w:kern w:val="2"/>
          <w:szCs w:val="24"/>
        </w:rPr>
      </w:pPr>
      <w:r>
        <w:rPr>
          <w:rFonts w:hint="eastAsia" w:cs="宋体"/>
          <w:b/>
          <w:kern w:val="2"/>
          <w:szCs w:val="24"/>
        </w:rPr>
        <w:t>操作：</w:t>
      </w:r>
      <w:r>
        <w:rPr>
          <w:rFonts w:hint="eastAsia" w:cs="宋体"/>
          <w:bCs/>
          <w:kern w:val="2"/>
          <w:szCs w:val="24"/>
        </w:rPr>
        <w:t>1.设备部专员设定修改检查内容及频次；</w:t>
      </w:r>
    </w:p>
    <w:p w14:paraId="10E1D9D0">
      <w:pPr>
        <w:spacing w:line="360" w:lineRule="auto"/>
        <w:ind w:firstLine="482"/>
        <w:rPr>
          <w:rFonts w:cs="宋体"/>
          <w:bCs/>
          <w:kern w:val="2"/>
          <w:szCs w:val="24"/>
        </w:rPr>
      </w:pPr>
      <w:r>
        <w:rPr>
          <w:rFonts w:hint="eastAsia" w:cs="宋体"/>
          <w:b/>
          <w:kern w:val="2"/>
          <w:szCs w:val="24"/>
        </w:rPr>
        <w:t>权限：</w:t>
      </w:r>
      <w:r>
        <w:rPr>
          <w:rFonts w:hint="eastAsia" w:cs="宋体"/>
          <w:bCs/>
          <w:kern w:val="2"/>
          <w:szCs w:val="24"/>
        </w:rPr>
        <w:t>1.设备部专员设定权限；2.其他人员查看权限。</w:t>
      </w:r>
    </w:p>
    <w:p w14:paraId="3CB50852">
      <w:pPr>
        <w:spacing w:line="360" w:lineRule="auto"/>
        <w:ind w:firstLine="482"/>
        <w:outlineLvl w:val="3"/>
        <w:rPr>
          <w:b/>
          <w:bCs/>
          <w:szCs w:val="24"/>
        </w:rPr>
      </w:pPr>
      <w:bookmarkStart w:id="182" w:name="_Toc32764"/>
      <w:bookmarkStart w:id="183" w:name="_Toc179921451"/>
      <w:r>
        <w:rPr>
          <w:rFonts w:hint="eastAsia"/>
          <w:b/>
          <w:bCs/>
          <w:szCs w:val="24"/>
        </w:rPr>
        <w:t>2.7设备操作检修规程</w:t>
      </w:r>
      <w:bookmarkEnd w:id="182"/>
      <w:bookmarkEnd w:id="183"/>
    </w:p>
    <w:p w14:paraId="080CF6F4">
      <w:pPr>
        <w:spacing w:line="360" w:lineRule="auto"/>
        <w:ind w:firstLine="480"/>
        <w:rPr>
          <w:szCs w:val="24"/>
        </w:rPr>
      </w:pPr>
      <w:r>
        <w:rPr>
          <w:rFonts w:hint="eastAsia"/>
          <w:szCs w:val="24"/>
        </w:rPr>
        <w:t>相应操作检维修规程在设备管理系统中进行上传，随后跳转至OA系统上进行审批流程。采用机电仪土建专业分文件夹，各自专业技术人员上传相应专业内设备的操作检修规程，对上传的文件名称进行固定规范，内容格式未作具体要求。文件命名需满足：设备型号-设备名称-操作检修规程-；如4M50-174/0.95-27-BX高压氢压缩机操作检修规程，ZHSSPT-34000/35整流变压器操作检修规程。附带信息如涉及所属车间，所属工序由系统根据前述资产台账选择自动填写。</w:t>
      </w:r>
    </w:p>
    <w:p w14:paraId="746A94DA">
      <w:pPr>
        <w:spacing w:line="360" w:lineRule="auto"/>
        <w:ind w:firstLine="482"/>
        <w:rPr>
          <w:b/>
          <w:bCs/>
          <w:szCs w:val="24"/>
        </w:rPr>
      </w:pPr>
      <w:r>
        <w:rPr>
          <w:rFonts w:hint="eastAsia"/>
          <w:b/>
          <w:bCs/>
          <w:szCs w:val="24"/>
        </w:rPr>
        <w:t>要求：</w:t>
      </w:r>
    </w:p>
    <w:p w14:paraId="37DD6176">
      <w:pPr>
        <w:spacing w:line="360" w:lineRule="auto"/>
        <w:ind w:firstLine="480"/>
        <w:rPr>
          <w:szCs w:val="24"/>
        </w:rPr>
      </w:pPr>
      <w:r>
        <w:rPr>
          <w:rFonts w:hint="eastAsia"/>
          <w:szCs w:val="24"/>
        </w:rPr>
        <w:t>1.设备操作检修规程，需匹配到相应资产台账中的一台或一类设备，可同时于一次流程中上传多台设备操作检修规程进行审批；</w:t>
      </w:r>
    </w:p>
    <w:p w14:paraId="42F0C5DB">
      <w:pPr>
        <w:spacing w:line="360" w:lineRule="auto"/>
        <w:ind w:firstLine="480"/>
        <w:rPr>
          <w:szCs w:val="24"/>
        </w:rPr>
      </w:pPr>
      <w:r>
        <w:rPr>
          <w:rFonts w:hint="eastAsia"/>
          <w:szCs w:val="24"/>
        </w:rPr>
        <w:t>2.在审批时，应当可选择该操作检修规程归属于哪类设备，或批量选择为哪些设备；审批结束后，该操作检修规程应当链接至对应的设备中，在资产管理台账中方便点击查看。</w:t>
      </w:r>
    </w:p>
    <w:p w14:paraId="29E3422B">
      <w:pPr>
        <w:spacing w:line="360" w:lineRule="auto"/>
        <w:ind w:firstLine="482"/>
        <w:rPr>
          <w:szCs w:val="24"/>
        </w:rPr>
      </w:pPr>
      <w:r>
        <w:rPr>
          <w:rFonts w:hint="eastAsia"/>
          <w:b/>
          <w:bCs/>
          <w:szCs w:val="24"/>
        </w:rPr>
        <w:t>操作：</w:t>
      </w:r>
      <w:r>
        <w:rPr>
          <w:rFonts w:hint="eastAsia"/>
          <w:szCs w:val="24"/>
        </w:rPr>
        <w:t>1.各专业技术员上传相应操作检修规程，完善相应信息，发起审批；</w:t>
      </w:r>
    </w:p>
    <w:p w14:paraId="0E6E3CC6">
      <w:pPr>
        <w:spacing w:line="360" w:lineRule="auto"/>
        <w:ind w:firstLine="482"/>
        <w:rPr>
          <w:szCs w:val="24"/>
        </w:rPr>
      </w:pPr>
      <w:r>
        <w:rPr>
          <w:rFonts w:hint="eastAsia"/>
          <w:b/>
          <w:bCs/>
          <w:szCs w:val="24"/>
        </w:rPr>
        <w:t>权限：</w:t>
      </w:r>
      <w:r>
        <w:rPr>
          <w:rFonts w:hint="eastAsia"/>
          <w:szCs w:val="24"/>
        </w:rPr>
        <w:t>1.各专业技术人员具备所有专业文件查看下载权限，仅具备自身专业文件上传修改权限；2.所有人员具备查看权限。</w:t>
      </w:r>
    </w:p>
    <w:p w14:paraId="361E208B">
      <w:pPr>
        <w:spacing w:line="360" w:lineRule="auto"/>
        <w:ind w:firstLine="482"/>
        <w:jc w:val="left"/>
        <w:outlineLvl w:val="2"/>
        <w:rPr>
          <w:rFonts w:cs="宋体"/>
          <w:b/>
          <w:kern w:val="2"/>
          <w:szCs w:val="24"/>
        </w:rPr>
      </w:pPr>
      <w:bookmarkStart w:id="184" w:name="_Toc21958"/>
      <w:r>
        <w:rPr>
          <w:rFonts w:hint="eastAsia" w:cs="宋体"/>
          <w:b/>
          <w:kern w:val="2"/>
          <w:szCs w:val="24"/>
        </w:rPr>
        <w:t>3.设备运行管理</w:t>
      </w:r>
      <w:bookmarkEnd w:id="184"/>
    </w:p>
    <w:p w14:paraId="3CD33935">
      <w:pPr>
        <w:spacing w:line="360" w:lineRule="auto"/>
        <w:ind w:firstLine="482"/>
        <w:outlineLvl w:val="3"/>
        <w:rPr>
          <w:b/>
          <w:bCs/>
          <w:szCs w:val="24"/>
        </w:rPr>
      </w:pPr>
      <w:bookmarkStart w:id="185" w:name="_Toc179921453"/>
      <w:bookmarkStart w:id="186" w:name="_Toc31803"/>
      <w:r>
        <w:rPr>
          <w:rFonts w:hint="eastAsia"/>
          <w:b/>
          <w:bCs/>
          <w:szCs w:val="24"/>
        </w:rPr>
        <w:t>3.1设备</w:t>
      </w:r>
      <w:bookmarkEnd w:id="185"/>
      <w:r>
        <w:rPr>
          <w:rFonts w:hint="eastAsia"/>
          <w:b/>
          <w:bCs/>
          <w:szCs w:val="24"/>
        </w:rPr>
        <w:t>巡检管理</w:t>
      </w:r>
      <w:bookmarkEnd w:id="186"/>
    </w:p>
    <w:p w14:paraId="67D57300">
      <w:pPr>
        <w:spacing w:line="360" w:lineRule="auto"/>
        <w:ind w:firstLine="480"/>
        <w:rPr>
          <w:rFonts w:hint="eastAsia"/>
        </w:rPr>
      </w:pPr>
      <w:r>
        <w:rPr>
          <w:rFonts w:hint="eastAsia"/>
        </w:rPr>
        <w:t>该功能支持规划和执行设备的定期巡检任务；支持巡检计划的制定、巡检任务的分配、巡检结果的记录和分析，通过移动设备，现场人员可以实时更新巡检状态，上传检查结果和照片。</w:t>
      </w:r>
    </w:p>
    <w:p w14:paraId="0E466F63">
      <w:pPr>
        <w:spacing w:line="360" w:lineRule="auto"/>
        <w:ind w:firstLine="480"/>
        <w:rPr>
          <w:rFonts w:cs="宋体"/>
          <w:bCs/>
          <w:kern w:val="2"/>
          <w:szCs w:val="24"/>
        </w:rPr>
      </w:pPr>
      <w:r>
        <w:rPr>
          <w:rFonts w:hint="eastAsia" w:cs="宋体"/>
          <w:bCs/>
          <w:kern w:val="2"/>
          <w:szCs w:val="24"/>
        </w:rPr>
        <w:t>此处分为两块，一块为班组巡检，技术员点检，另一块为第三方机泵状态在线监测数据信息。针对人员巡检发现问题类别，需预先进行设备类别，设备故障类型设置，后续相应人员仅采用防爆手机app上报时直接选择各类具体问题类别。</w:t>
      </w:r>
    </w:p>
    <w:p w14:paraId="3F2BE73B">
      <w:pPr>
        <w:pStyle w:val="6"/>
        <w:numPr>
          <w:ilvl w:val="4"/>
          <w:numId w:val="0"/>
        </w:numPr>
        <w:ind w:left="485" w:leftChars="202"/>
        <w:rPr>
          <w:rFonts w:asciiTheme="minorEastAsia" w:hAnsiTheme="minorEastAsia"/>
          <w:color w:val="auto"/>
        </w:rPr>
      </w:pPr>
      <w:r>
        <w:rPr>
          <w:rFonts w:hint="eastAsia" w:asciiTheme="minorEastAsia" w:hAnsiTheme="minorEastAsia"/>
          <w:color w:val="auto"/>
        </w:rPr>
        <w:t>3.1.1班组巡检</w:t>
      </w:r>
    </w:p>
    <w:p w14:paraId="12529A1A">
      <w:pPr>
        <w:spacing w:line="360" w:lineRule="auto"/>
        <w:ind w:firstLine="480"/>
        <w:rPr>
          <w:rFonts w:cs="宋体"/>
          <w:bCs/>
          <w:kern w:val="2"/>
          <w:szCs w:val="24"/>
        </w:rPr>
      </w:pPr>
      <w:r>
        <w:rPr>
          <w:rFonts w:hint="eastAsia" w:cs="宋体"/>
          <w:bCs/>
          <w:kern w:val="2"/>
          <w:szCs w:val="24"/>
        </w:rPr>
        <w:t>各区域班组每两小时（时间可设置）对所负责区域路线进行巡检一次；班组不同岗位具有各自巡检路线，检查设备是否正常运行，有无异响、振动、漏油、漏水、漏气等现象；对现场的温度、压力、流量进行检查。</w:t>
      </w:r>
    </w:p>
    <w:p w14:paraId="3419E3AC">
      <w:pPr>
        <w:spacing w:line="360" w:lineRule="auto"/>
        <w:ind w:firstLine="480"/>
        <w:rPr>
          <w:rFonts w:hint="eastAsia"/>
        </w:rPr>
      </w:pPr>
      <w:r>
        <w:rPr>
          <w:rFonts w:hint="eastAsia"/>
        </w:rPr>
        <w:t>支持设置巡检参数、巡检路线、巡检计划，通过巡检计划自动生成巡检任务，并分配给相应的巡检班组和人员，巡检人员使用相应工具扫描设备二维码，进行巡检数据测量，随后自动录入巡检数据至设备管理系统。</w:t>
      </w:r>
    </w:p>
    <w:p w14:paraId="05EE9EDB">
      <w:pPr>
        <w:spacing w:line="360" w:lineRule="auto"/>
        <w:ind w:firstLine="482"/>
        <w:rPr>
          <w:rFonts w:cs="宋体"/>
          <w:b/>
          <w:kern w:val="2"/>
          <w:szCs w:val="24"/>
        </w:rPr>
      </w:pPr>
      <w:r>
        <w:rPr>
          <w:rFonts w:hint="eastAsia" w:cs="宋体"/>
          <w:b/>
          <w:kern w:val="2"/>
          <w:szCs w:val="24"/>
        </w:rPr>
        <w:t>要求：</w:t>
      </w:r>
    </w:p>
    <w:p w14:paraId="2E50EF02">
      <w:pPr>
        <w:spacing w:line="360" w:lineRule="auto"/>
        <w:ind w:firstLine="480"/>
        <w:rPr>
          <w:rFonts w:cs="宋体"/>
          <w:bCs/>
          <w:kern w:val="2"/>
          <w:szCs w:val="24"/>
        </w:rPr>
      </w:pPr>
      <w:r>
        <w:rPr>
          <w:rFonts w:hint="eastAsia" w:cs="宋体"/>
          <w:bCs/>
          <w:kern w:val="2"/>
          <w:szCs w:val="24"/>
        </w:rPr>
        <w:t>1.班组巡检发现异常缺陷时采用下述设备缺陷管理流程进行异常缺陷上报；应配备相应的巡检工具，通过巡检工具进行现场设备的振动温度等测量，可自动将测量的数据上传至系统；</w:t>
      </w:r>
    </w:p>
    <w:p w14:paraId="71EDE316">
      <w:pPr>
        <w:spacing w:line="360" w:lineRule="auto"/>
        <w:ind w:firstLine="480"/>
        <w:rPr>
          <w:rFonts w:cs="宋体"/>
          <w:bCs/>
          <w:kern w:val="2"/>
          <w:szCs w:val="24"/>
        </w:rPr>
      </w:pPr>
      <w:r>
        <w:rPr>
          <w:rFonts w:hint="eastAsia" w:cs="宋体"/>
          <w:bCs/>
          <w:kern w:val="2"/>
          <w:szCs w:val="24"/>
        </w:rPr>
        <w:t>2.班组巡检的内容，可于设备管理系统中进行编制修改，并形成巡检任务等，定期执行推送。</w:t>
      </w:r>
    </w:p>
    <w:p w14:paraId="4E2DA825">
      <w:pPr>
        <w:pStyle w:val="6"/>
        <w:numPr>
          <w:ilvl w:val="4"/>
          <w:numId w:val="0"/>
        </w:numPr>
        <w:ind w:left="485" w:leftChars="202"/>
        <w:rPr>
          <w:rFonts w:asciiTheme="minorEastAsia" w:hAnsiTheme="minorEastAsia"/>
          <w:color w:val="auto"/>
        </w:rPr>
      </w:pPr>
      <w:r>
        <w:rPr>
          <w:rFonts w:hint="eastAsia" w:asciiTheme="minorEastAsia" w:hAnsiTheme="minorEastAsia"/>
          <w:color w:val="auto"/>
        </w:rPr>
        <w:t>3.1.2技术员点检</w:t>
      </w:r>
    </w:p>
    <w:p w14:paraId="489875AC">
      <w:pPr>
        <w:spacing w:line="360" w:lineRule="auto"/>
        <w:ind w:firstLine="480"/>
        <w:rPr>
          <w:rFonts w:cs="宋体"/>
          <w:bCs/>
          <w:kern w:val="2"/>
          <w:szCs w:val="24"/>
        </w:rPr>
      </w:pPr>
      <w:r>
        <w:rPr>
          <w:rFonts w:hint="eastAsia" w:cs="宋体"/>
          <w:bCs/>
          <w:kern w:val="2"/>
          <w:szCs w:val="24"/>
        </w:rPr>
        <w:tab/>
      </w:r>
      <w:r>
        <w:rPr>
          <w:rFonts w:hint="eastAsia" w:cs="宋体"/>
          <w:bCs/>
          <w:kern w:val="2"/>
          <w:szCs w:val="24"/>
        </w:rPr>
        <w:t>在设备管理系统中根据公司相应巡检规定，由设备部设定定期巡检频次，由设备管理系统进行推送提醒，巡检内容根据相应ITPM策略（上述设备维护策略）进行检查，使用相应工具测量设备机组温度，振动等数据，自动记录于设备管理系统中各类设备的定期巡检记录单；发现异常缺陷时，系统自动生成缺陷记录单。</w:t>
      </w:r>
    </w:p>
    <w:p w14:paraId="1BE72659">
      <w:pPr>
        <w:spacing w:line="360" w:lineRule="auto"/>
        <w:ind w:firstLine="482"/>
        <w:rPr>
          <w:rFonts w:cs="宋体"/>
          <w:b/>
          <w:kern w:val="2"/>
          <w:szCs w:val="24"/>
        </w:rPr>
      </w:pPr>
      <w:r>
        <w:rPr>
          <w:rFonts w:hint="eastAsia" w:cs="宋体"/>
          <w:b/>
          <w:kern w:val="2"/>
          <w:szCs w:val="24"/>
        </w:rPr>
        <w:t>要求：</w:t>
      </w:r>
    </w:p>
    <w:p w14:paraId="0DB6D62A">
      <w:pPr>
        <w:spacing w:line="360" w:lineRule="auto"/>
        <w:ind w:firstLine="480"/>
        <w:rPr>
          <w:rFonts w:cs="宋体"/>
          <w:bCs/>
          <w:kern w:val="2"/>
          <w:szCs w:val="24"/>
        </w:rPr>
      </w:pPr>
      <w:r>
        <w:rPr>
          <w:rFonts w:hint="eastAsia" w:cs="宋体"/>
          <w:bCs/>
          <w:kern w:val="2"/>
          <w:szCs w:val="24"/>
        </w:rPr>
        <w:t>1.自由编辑设置巡检提醒，巡检内容，按时提前推送至各专业技术员；</w:t>
      </w:r>
    </w:p>
    <w:p w14:paraId="2C1BB7CF">
      <w:pPr>
        <w:spacing w:line="360" w:lineRule="auto"/>
        <w:ind w:firstLine="480"/>
        <w:rPr>
          <w:rFonts w:cs="宋体"/>
          <w:bCs/>
          <w:kern w:val="2"/>
          <w:szCs w:val="24"/>
        </w:rPr>
      </w:pPr>
      <w:r>
        <w:rPr>
          <w:rFonts w:hint="eastAsia" w:cs="宋体"/>
          <w:bCs/>
          <w:kern w:val="2"/>
          <w:szCs w:val="24"/>
        </w:rPr>
        <w:t>2.相关巡检工具的数据便捷上传至设备管理系统定期巡检记录单中对应的机组信息中；</w:t>
      </w:r>
    </w:p>
    <w:p w14:paraId="3E67462F">
      <w:pPr>
        <w:spacing w:line="360" w:lineRule="auto"/>
        <w:ind w:firstLine="482"/>
        <w:rPr>
          <w:rFonts w:cs="宋体"/>
          <w:bCs/>
          <w:kern w:val="2"/>
          <w:szCs w:val="24"/>
        </w:rPr>
      </w:pPr>
      <w:r>
        <w:rPr>
          <w:rFonts w:hint="eastAsia" w:cs="宋体"/>
          <w:b/>
          <w:kern w:val="2"/>
          <w:szCs w:val="24"/>
        </w:rPr>
        <w:t>操作：</w:t>
      </w:r>
      <w:r>
        <w:rPr>
          <w:rFonts w:hint="eastAsia" w:cs="宋体"/>
          <w:bCs/>
          <w:kern w:val="2"/>
          <w:szCs w:val="24"/>
        </w:rPr>
        <w:t>1.巡检内容及提醒设置；2.定期巡检记录单汇总分析。</w:t>
      </w:r>
    </w:p>
    <w:p w14:paraId="1AFC4594">
      <w:pPr>
        <w:spacing w:line="360" w:lineRule="auto"/>
        <w:ind w:firstLine="482"/>
        <w:rPr>
          <w:rFonts w:cs="宋体"/>
          <w:bCs/>
          <w:kern w:val="2"/>
          <w:szCs w:val="24"/>
        </w:rPr>
      </w:pPr>
      <w:r>
        <w:rPr>
          <w:rFonts w:hint="eastAsia" w:cs="宋体"/>
          <w:b/>
          <w:kern w:val="2"/>
          <w:szCs w:val="24"/>
        </w:rPr>
        <w:t>权限：</w:t>
      </w:r>
      <w:r>
        <w:rPr>
          <w:rFonts w:hint="eastAsia" w:cs="宋体"/>
          <w:bCs/>
          <w:kern w:val="2"/>
          <w:szCs w:val="24"/>
        </w:rPr>
        <w:t>1.各专业人员申请修改相应巡检内容及频次；2.所有人员查看权限。</w:t>
      </w:r>
    </w:p>
    <w:p w14:paraId="30C62144">
      <w:pPr>
        <w:pStyle w:val="6"/>
        <w:numPr>
          <w:ilvl w:val="4"/>
          <w:numId w:val="0"/>
        </w:numPr>
        <w:ind w:left="485" w:leftChars="202"/>
        <w:rPr>
          <w:rFonts w:asciiTheme="minorEastAsia" w:hAnsiTheme="minorEastAsia"/>
          <w:color w:val="auto"/>
        </w:rPr>
      </w:pPr>
      <w:r>
        <w:rPr>
          <w:rFonts w:hint="eastAsia" w:asciiTheme="minorEastAsia" w:hAnsiTheme="minorEastAsia"/>
          <w:color w:val="auto"/>
        </w:rPr>
        <w:t>3.1.3 机泵状态在线监测</w:t>
      </w:r>
    </w:p>
    <w:p w14:paraId="3008E5FA">
      <w:pPr>
        <w:spacing w:line="360" w:lineRule="auto"/>
        <w:ind w:firstLine="480"/>
        <w:rPr>
          <w:rFonts w:cs="宋体"/>
          <w:bCs/>
          <w:kern w:val="2"/>
          <w:szCs w:val="24"/>
        </w:rPr>
      </w:pPr>
      <w:r>
        <w:rPr>
          <w:rFonts w:cs="宋体"/>
          <w:bCs/>
          <w:kern w:val="2"/>
          <w:szCs w:val="24"/>
        </w:rPr>
        <w:tab/>
      </w:r>
      <w:r>
        <w:rPr>
          <w:rFonts w:hint="eastAsia" w:cs="宋体"/>
          <w:bCs/>
          <w:kern w:val="2"/>
          <w:szCs w:val="24"/>
        </w:rPr>
        <w:t>此处需要接入第三方的机泵状态在线监测数据信息，便于此处查看所有机泵的在线监测数据。</w:t>
      </w:r>
    </w:p>
    <w:p w14:paraId="6EFE9B35">
      <w:pPr>
        <w:spacing w:line="360" w:lineRule="auto"/>
        <w:ind w:firstLine="482"/>
        <w:rPr>
          <w:rFonts w:cs="宋体"/>
          <w:b/>
          <w:kern w:val="2"/>
          <w:szCs w:val="24"/>
        </w:rPr>
      </w:pPr>
      <w:r>
        <w:rPr>
          <w:rFonts w:hint="eastAsia" w:cs="宋体"/>
          <w:b/>
          <w:kern w:val="2"/>
          <w:szCs w:val="24"/>
        </w:rPr>
        <w:t>要求：</w:t>
      </w:r>
    </w:p>
    <w:p w14:paraId="103F7A19">
      <w:pPr>
        <w:pStyle w:val="43"/>
        <w:numPr>
          <w:ilvl w:val="0"/>
          <w:numId w:val="5"/>
        </w:numPr>
        <w:spacing w:line="360" w:lineRule="auto"/>
        <w:ind w:firstLineChars="0"/>
        <w:rPr>
          <w:rFonts w:cs="宋体"/>
          <w:bCs/>
          <w:kern w:val="2"/>
          <w:szCs w:val="24"/>
        </w:rPr>
      </w:pPr>
      <w:r>
        <w:rPr>
          <w:rFonts w:hint="eastAsia" w:cs="宋体"/>
          <w:bCs/>
          <w:kern w:val="2"/>
          <w:szCs w:val="24"/>
        </w:rPr>
        <w:t>设备管理系统需要实时更新第三方机泵在线监测数据的信息及其页面；</w:t>
      </w:r>
    </w:p>
    <w:p w14:paraId="17B15062">
      <w:pPr>
        <w:pStyle w:val="43"/>
        <w:numPr>
          <w:ilvl w:val="0"/>
          <w:numId w:val="5"/>
        </w:numPr>
        <w:spacing w:line="360" w:lineRule="auto"/>
        <w:ind w:firstLineChars="0"/>
        <w:rPr>
          <w:rFonts w:cs="宋体"/>
          <w:bCs/>
          <w:kern w:val="2"/>
          <w:szCs w:val="24"/>
        </w:rPr>
      </w:pPr>
      <w:r>
        <w:rPr>
          <w:rFonts w:hint="eastAsia" w:cs="宋体"/>
          <w:bCs/>
          <w:kern w:val="2"/>
          <w:szCs w:val="24"/>
        </w:rPr>
        <w:t>第三方机泵状态在线监测到异常数据时，可自动发起下述设备缺陷处理单据。</w:t>
      </w:r>
    </w:p>
    <w:p w14:paraId="66DD0E8B">
      <w:pPr>
        <w:pStyle w:val="6"/>
        <w:numPr>
          <w:ilvl w:val="4"/>
          <w:numId w:val="0"/>
        </w:numPr>
        <w:ind w:left="485" w:leftChars="202"/>
        <w:rPr>
          <w:rFonts w:hint="eastAsia" w:asciiTheme="minorEastAsia" w:hAnsiTheme="minorEastAsia"/>
          <w:color w:val="auto"/>
        </w:rPr>
      </w:pPr>
      <w:r>
        <w:rPr>
          <w:rFonts w:hint="eastAsia" w:asciiTheme="minorEastAsia" w:hAnsiTheme="minorEastAsia"/>
          <w:color w:val="auto"/>
        </w:rPr>
        <w:t>3.1.4数据监测</w:t>
      </w:r>
    </w:p>
    <w:p w14:paraId="2AEB6B95">
      <w:pPr>
        <w:spacing w:line="360" w:lineRule="auto"/>
        <w:ind w:firstLine="900" w:firstLineChars="375"/>
        <w:rPr>
          <w:rFonts w:hint="eastAsia" w:cs="宋体"/>
          <w:bCs/>
          <w:kern w:val="2"/>
          <w:szCs w:val="24"/>
        </w:rPr>
      </w:pPr>
      <w:r>
        <w:rPr>
          <w:rFonts w:hint="eastAsia" w:cs="宋体"/>
          <w:bCs/>
          <w:kern w:val="2"/>
          <w:szCs w:val="24"/>
        </w:rPr>
        <w:t>每月（</w:t>
      </w:r>
      <w:r>
        <w:rPr>
          <w:rFonts w:hint="eastAsia"/>
        </w:rPr>
        <w:t>支持设置巡检数据的监测周期</w:t>
      </w:r>
      <w:r>
        <w:rPr>
          <w:rFonts w:hint="eastAsia" w:cs="宋体"/>
          <w:bCs/>
          <w:kern w:val="2"/>
          <w:szCs w:val="24"/>
        </w:rPr>
        <w:t>）自动汇总存档各专业的各类设备的定期巡检记录单（含第三方的在线状态监测数据），</w:t>
      </w:r>
      <w:r>
        <w:rPr>
          <w:rFonts w:hint="eastAsia"/>
        </w:rPr>
        <w:t>通过分析巡检数据</w:t>
      </w:r>
      <w:r>
        <w:rPr>
          <w:rFonts w:hint="eastAsia" w:cs="宋体"/>
          <w:bCs/>
          <w:kern w:val="2"/>
          <w:szCs w:val="24"/>
        </w:rPr>
        <w:t>，</w:t>
      </w:r>
      <w:r>
        <w:rPr>
          <w:rFonts w:hint="eastAsia"/>
        </w:rPr>
        <w:t>识别设备性能趋势和潜在问题，生产每月巡检分析报告，为预防性维护提供依据，</w:t>
      </w:r>
      <w:r>
        <w:rPr>
          <w:rFonts w:hint="eastAsia" w:cs="宋体"/>
          <w:bCs/>
          <w:kern w:val="2"/>
          <w:szCs w:val="24"/>
        </w:rPr>
        <w:t>并提供一定程度的建议，对巡检频次变化的建议等。</w:t>
      </w:r>
    </w:p>
    <w:p w14:paraId="5B0603B3">
      <w:pPr>
        <w:spacing w:line="360" w:lineRule="auto"/>
        <w:ind w:firstLine="482"/>
        <w:outlineLvl w:val="3"/>
        <w:rPr>
          <w:b/>
          <w:bCs/>
          <w:szCs w:val="24"/>
        </w:rPr>
      </w:pPr>
      <w:bookmarkStart w:id="187" w:name="_Toc179921454"/>
      <w:bookmarkStart w:id="188" w:name="_Toc15567"/>
      <w:r>
        <w:rPr>
          <w:rFonts w:hint="eastAsia"/>
          <w:b/>
          <w:bCs/>
          <w:szCs w:val="24"/>
        </w:rPr>
        <w:t>3.2设备</w:t>
      </w:r>
      <w:bookmarkEnd w:id="187"/>
      <w:r>
        <w:rPr>
          <w:rFonts w:hint="eastAsia"/>
          <w:b/>
          <w:bCs/>
          <w:szCs w:val="24"/>
        </w:rPr>
        <w:t>缺陷管理</w:t>
      </w:r>
      <w:bookmarkEnd w:id="188"/>
    </w:p>
    <w:p w14:paraId="2C26AD6D">
      <w:pPr>
        <w:spacing w:line="360" w:lineRule="auto"/>
        <w:ind w:firstLine="480"/>
      </w:pPr>
      <w:r>
        <w:rPr>
          <w:rFonts w:hint="eastAsia"/>
        </w:rPr>
        <w:t>该模块支持记录汇总、跟踪和分析设备的缺陷，形成相应缺陷台账，相应缺陷分析报告等；支持对接双重预防平台；支持缺陷全员提报，将现场发现的任何异常缺陷均第一时间提交至缺陷管理，并实行统一评估、分类，按缺陷级别采取相应检维修措施，实现消缺闭环管理。</w:t>
      </w:r>
    </w:p>
    <w:p w14:paraId="66C7B1D6">
      <w:pPr>
        <w:pStyle w:val="6"/>
        <w:numPr>
          <w:ilvl w:val="4"/>
          <w:numId w:val="0"/>
        </w:numPr>
        <w:ind w:left="485" w:leftChars="202"/>
        <w:rPr>
          <w:rFonts w:asciiTheme="minorEastAsia" w:hAnsiTheme="minorEastAsia"/>
          <w:color w:val="auto"/>
        </w:rPr>
      </w:pPr>
      <w:r>
        <w:rPr>
          <w:rFonts w:hint="eastAsia" w:asciiTheme="minorEastAsia" w:hAnsiTheme="minorEastAsia"/>
          <w:color w:val="auto"/>
        </w:rPr>
        <w:t>3.2.1缺陷登记</w:t>
      </w:r>
    </w:p>
    <w:p w14:paraId="5641D101">
      <w:pPr>
        <w:spacing w:line="360" w:lineRule="auto"/>
        <w:ind w:firstLine="480"/>
        <w:rPr>
          <w:rFonts w:hint="eastAsia"/>
        </w:rPr>
      </w:pPr>
      <w:r>
        <w:rPr>
          <w:rFonts w:hint="eastAsia"/>
        </w:rPr>
        <w:t>支持自动将设备巡检中发现的异常项列入缺陷管理列表；支持全员提报现场异常项；支持通过W</w:t>
      </w:r>
      <w:r>
        <w:t>EB</w:t>
      </w:r>
      <w:r>
        <w:rPr>
          <w:rFonts w:hint="eastAsia"/>
        </w:rPr>
        <w:t>端或者A</w:t>
      </w:r>
      <w:r>
        <w:t>PP</w:t>
      </w:r>
      <w:r>
        <w:rPr>
          <w:rFonts w:hint="eastAsia"/>
        </w:rPr>
        <w:t>进行上报。</w:t>
      </w:r>
    </w:p>
    <w:p w14:paraId="10C8C811">
      <w:pPr>
        <w:spacing w:line="360" w:lineRule="auto"/>
        <w:ind w:firstLine="480"/>
        <w:rPr>
          <w:rFonts w:cs="宋体"/>
          <w:bCs/>
          <w:kern w:val="2"/>
          <w:szCs w:val="24"/>
        </w:rPr>
      </w:pPr>
      <w:r>
        <w:rPr>
          <w:rFonts w:hint="eastAsia" w:cs="宋体"/>
          <w:bCs/>
          <w:kern w:val="2"/>
          <w:szCs w:val="24"/>
        </w:rPr>
        <w:t>设备异常缺陷信息来源：</w:t>
      </w:r>
    </w:p>
    <w:p w14:paraId="01AFE615">
      <w:pPr>
        <w:spacing w:line="360" w:lineRule="auto"/>
        <w:ind w:firstLine="480"/>
        <w:rPr>
          <w:rFonts w:cs="宋体"/>
          <w:bCs/>
          <w:kern w:val="2"/>
          <w:szCs w:val="24"/>
        </w:rPr>
      </w:pPr>
      <w:r>
        <w:rPr>
          <w:rFonts w:hint="eastAsia" w:cs="宋体"/>
          <w:bCs/>
          <w:kern w:val="2"/>
          <w:szCs w:val="24"/>
        </w:rPr>
        <w:t>①班组人员或技术员现场巡检时，根据发现的故障问题录入到系统中，形成缺陷记录通知单（包含设备位号、专业、故障类别、具体描述）；</w:t>
      </w:r>
    </w:p>
    <w:p w14:paraId="541A660E">
      <w:pPr>
        <w:spacing w:line="360" w:lineRule="auto"/>
        <w:ind w:firstLine="480"/>
        <w:rPr>
          <w:rFonts w:cs="宋体"/>
          <w:bCs/>
          <w:kern w:val="2"/>
          <w:szCs w:val="24"/>
        </w:rPr>
      </w:pPr>
      <w:r>
        <w:rPr>
          <w:rFonts w:hint="eastAsia" w:cs="宋体"/>
          <w:bCs/>
          <w:kern w:val="2"/>
          <w:szCs w:val="24"/>
        </w:rPr>
        <w:t>②重要机泵状态监测系统，监测发现的异常推送；</w:t>
      </w:r>
    </w:p>
    <w:p w14:paraId="13CA0A4C">
      <w:pPr>
        <w:spacing w:line="360" w:lineRule="auto"/>
        <w:ind w:firstLine="480"/>
        <w:rPr>
          <w:rFonts w:cs="宋体"/>
          <w:bCs/>
          <w:kern w:val="2"/>
          <w:szCs w:val="24"/>
        </w:rPr>
      </w:pPr>
      <w:r>
        <w:rPr>
          <w:rFonts w:hint="eastAsia" w:cs="宋体"/>
          <w:bCs/>
          <w:kern w:val="2"/>
          <w:szCs w:val="24"/>
        </w:rPr>
        <w:t>③其它系统上的异常数据模块；</w:t>
      </w:r>
    </w:p>
    <w:p w14:paraId="39447296">
      <w:pPr>
        <w:pStyle w:val="6"/>
        <w:numPr>
          <w:ilvl w:val="4"/>
          <w:numId w:val="0"/>
        </w:numPr>
        <w:ind w:left="485" w:leftChars="202"/>
        <w:rPr>
          <w:rFonts w:asciiTheme="minorEastAsia" w:hAnsiTheme="minorEastAsia"/>
          <w:color w:val="auto"/>
        </w:rPr>
      </w:pPr>
      <w:r>
        <w:rPr>
          <w:rFonts w:hint="eastAsia" w:asciiTheme="minorEastAsia" w:hAnsiTheme="minorEastAsia"/>
          <w:color w:val="auto"/>
        </w:rPr>
        <w:t>3.2.2缺陷分级</w:t>
      </w:r>
    </w:p>
    <w:p w14:paraId="2F4DAD01">
      <w:pPr>
        <w:spacing w:line="360" w:lineRule="auto"/>
        <w:ind w:firstLine="480"/>
      </w:pPr>
      <w:r>
        <w:rPr>
          <w:rFonts w:hint="eastAsia"/>
        </w:rPr>
        <w:t>支持将缺陷表单按所属装置或部门分配至对应的设备管理员工作列表中，根据缺陷现象进行分级，并根据分级结果选择对应的后续处理。</w:t>
      </w:r>
      <w:r>
        <w:rPr>
          <w:rFonts w:hint="eastAsia"/>
          <w:highlight w:val="cyan"/>
        </w:rPr>
        <w:t>（相应投标单位应当根据相应国标如：</w:t>
      </w:r>
      <w:r>
        <w:rPr>
          <w:highlight w:val="cyan"/>
        </w:rPr>
        <w:t>44692.2-2024危险化学品企业设备完整性 第2部分：技术实施指南</w:t>
      </w:r>
      <w:r>
        <w:rPr>
          <w:rFonts w:hint="eastAsia"/>
          <w:highlight w:val="cyan"/>
        </w:rPr>
        <w:t>，辅助招标方做好相应设备缺陷分级）</w:t>
      </w:r>
    </w:p>
    <w:p w14:paraId="66587FAD">
      <w:pPr>
        <w:pStyle w:val="6"/>
        <w:numPr>
          <w:ilvl w:val="4"/>
          <w:numId w:val="0"/>
        </w:numPr>
        <w:ind w:left="485" w:leftChars="202"/>
        <w:rPr>
          <w:rFonts w:asciiTheme="minorEastAsia" w:hAnsiTheme="minorEastAsia"/>
          <w:color w:val="auto"/>
        </w:rPr>
      </w:pPr>
      <w:r>
        <w:rPr>
          <w:rFonts w:hint="eastAsia" w:asciiTheme="minorEastAsia" w:hAnsiTheme="minorEastAsia"/>
          <w:color w:val="auto"/>
        </w:rPr>
        <w:t>3.2.3缺陷分配</w:t>
      </w:r>
    </w:p>
    <w:p w14:paraId="3779C6FD">
      <w:pPr>
        <w:spacing w:line="360" w:lineRule="auto"/>
        <w:ind w:firstLine="480"/>
      </w:pPr>
      <w:r>
        <w:rPr>
          <w:rFonts w:hint="eastAsia"/>
        </w:rPr>
        <w:t>根据缺陷的性质、所属设备类型、部门职责等信息，将缺陷单列入检修日、周、月、大修计划，并按权限分配到合适的人员或相应班组，检修维保的工作列表中。</w:t>
      </w:r>
    </w:p>
    <w:p w14:paraId="4F9D3DBB">
      <w:pPr>
        <w:pStyle w:val="6"/>
        <w:numPr>
          <w:ilvl w:val="4"/>
          <w:numId w:val="0"/>
        </w:numPr>
        <w:ind w:left="485" w:leftChars="202"/>
        <w:rPr>
          <w:rFonts w:asciiTheme="minorEastAsia" w:hAnsiTheme="minorEastAsia"/>
          <w:color w:val="auto"/>
        </w:rPr>
      </w:pPr>
      <w:r>
        <w:rPr>
          <w:rFonts w:hint="eastAsia" w:asciiTheme="minorEastAsia" w:hAnsiTheme="minorEastAsia"/>
          <w:color w:val="auto"/>
        </w:rPr>
        <w:t>3.2.4缺陷整改</w:t>
      </w:r>
    </w:p>
    <w:p w14:paraId="79FF7BAC">
      <w:pPr>
        <w:spacing w:line="360" w:lineRule="auto"/>
        <w:ind w:firstLine="480"/>
      </w:pPr>
      <w:r>
        <w:rPr>
          <w:rFonts w:hint="eastAsia"/>
        </w:rPr>
        <w:t>缺陷整改应包括作业票开具、现场整改等环节。支持与原有作业票系统（工智道）对接在线开具作业票，并于工智道中进行审批，审批完后返至设备管理系统中，随后相应人员根据票证进行检修整改。</w:t>
      </w:r>
    </w:p>
    <w:p w14:paraId="769A7411">
      <w:pPr>
        <w:spacing w:line="360" w:lineRule="auto"/>
        <w:ind w:firstLine="480"/>
      </w:pPr>
      <w:r>
        <w:rPr>
          <w:rFonts w:hint="eastAsia"/>
        </w:rPr>
        <w:t>若当日无法检修完成或需要一段时间进行处置，在开具作业票时应当可选择需要作业时间，系统应当在每日17：30（时间可个人自由设定）进行提醒相应作业人员，关闭相应作业票，并于次日8：00（时间可个人自由设定）提醒相应人员开启相应作业票审批。</w:t>
      </w:r>
    </w:p>
    <w:p w14:paraId="29A3C9E1">
      <w:pPr>
        <w:pStyle w:val="6"/>
        <w:numPr>
          <w:ilvl w:val="4"/>
          <w:numId w:val="0"/>
        </w:numPr>
        <w:ind w:left="485" w:leftChars="202"/>
        <w:rPr>
          <w:rFonts w:hint="eastAsia" w:asciiTheme="minorEastAsia" w:hAnsiTheme="minorEastAsia"/>
          <w:color w:val="auto"/>
        </w:rPr>
      </w:pPr>
      <w:r>
        <w:rPr>
          <w:rFonts w:hint="eastAsia" w:asciiTheme="minorEastAsia" w:hAnsiTheme="minorEastAsia"/>
          <w:color w:val="auto"/>
        </w:rPr>
        <w:t>3.2.5缺陷验收</w:t>
      </w:r>
    </w:p>
    <w:p w14:paraId="6CC1F552">
      <w:pPr>
        <w:spacing w:line="360" w:lineRule="auto"/>
        <w:ind w:firstLine="480"/>
      </w:pPr>
      <w:r>
        <w:rPr>
          <w:rFonts w:hint="eastAsia"/>
        </w:rPr>
        <w:t>支持相应人员按计划进行检修完成后，可通过手机app将现场维修情况录入系统中，依据设定的检修验收标准，进行缺陷整改验收审批。验收审批通过后，此缺陷单即实现闭环管理，缺陷单状态改为已完成。</w:t>
      </w:r>
    </w:p>
    <w:p w14:paraId="50823C3C">
      <w:pPr>
        <w:pStyle w:val="6"/>
        <w:numPr>
          <w:ilvl w:val="4"/>
          <w:numId w:val="0"/>
        </w:numPr>
        <w:ind w:left="485" w:leftChars="202"/>
        <w:rPr>
          <w:rFonts w:asciiTheme="minorEastAsia" w:hAnsiTheme="minorEastAsia"/>
          <w:color w:val="auto"/>
        </w:rPr>
      </w:pPr>
      <w:r>
        <w:rPr>
          <w:rFonts w:hint="eastAsia" w:asciiTheme="minorEastAsia" w:hAnsiTheme="minorEastAsia"/>
          <w:color w:val="auto"/>
        </w:rPr>
        <w:t>3.2.6 缺陷统计分析</w:t>
      </w:r>
    </w:p>
    <w:p w14:paraId="6CBA75D0">
      <w:pPr>
        <w:spacing w:line="360" w:lineRule="auto"/>
        <w:ind w:firstLine="480"/>
        <w:rPr>
          <w:highlight w:val="cyan"/>
        </w:rPr>
      </w:pPr>
      <w:r>
        <w:rPr>
          <w:rFonts w:hint="eastAsia"/>
        </w:rPr>
        <w:t>支持缺陷数据统计分析；支持“一张表单走完一个业务流程”，支持按不同的维度对生产现场的缺陷管理情况进行数据考核和排名，解决数据不完整、不标准、收集难度大、考核不准确等问题，提高设备管理效率；</w:t>
      </w:r>
      <w:r>
        <w:rPr>
          <w:rFonts w:hint="eastAsia"/>
          <w:highlight w:val="cyan"/>
        </w:rPr>
        <w:t>支持提供完整的缺陷库，该缺陷库提供缺陷标准字段并实现字段自动关联，主要包括缺陷对象、缺陷现象、缺陷机理、缺陷原因、缺陷治理策略。</w:t>
      </w:r>
    </w:p>
    <w:p w14:paraId="558CF30A">
      <w:pPr>
        <w:ind w:firstLine="482"/>
        <w:rPr>
          <w:b/>
          <w:bCs/>
        </w:rPr>
      </w:pPr>
      <w:r>
        <w:rPr>
          <w:rFonts w:hint="eastAsia"/>
          <w:b/>
          <w:bCs/>
        </w:rPr>
        <w:t>总体流程说明：</w:t>
      </w:r>
    </w:p>
    <w:p w14:paraId="48F9BC9B">
      <w:pPr>
        <w:spacing w:line="360" w:lineRule="auto"/>
        <w:ind w:firstLine="480"/>
        <w:rPr>
          <w:rFonts w:cs="宋体"/>
          <w:bCs/>
          <w:kern w:val="2"/>
          <w:szCs w:val="24"/>
        </w:rPr>
      </w:pPr>
      <w:r>
        <w:rPr>
          <w:rFonts w:hint="eastAsia" w:cs="宋体"/>
          <w:bCs/>
          <w:kern w:val="2"/>
          <w:szCs w:val="24"/>
        </w:rPr>
        <w:t>设备异常缺陷信息由设备管理系统推送至相应车间专业技术员处，由技术员确认缺陷等级，检修时间，列入相应检修计划；再实施相应检修计划前提报相应检修材料，进行领料，指派相应维保队长，由维保队长安排相应维保人员处理；维修完成后，技术员对相关原因进行分析填写，形成相应维修报告，对于重要及关键异常缺陷处理完后由对应车间主任验收。若出现无法立即处理的故障问题，相应专业技术员应当选择：XX装置停车处理（XX后续进行统一规定）、无备件等，一般及重要缺陷延期处理需经车间主任及设备部主任确认，关键缺陷延期处理需再经分管领导确认；</w:t>
      </w:r>
    </w:p>
    <w:p w14:paraId="2FC56C96">
      <w:pPr>
        <w:spacing w:line="360" w:lineRule="auto"/>
        <w:ind w:firstLine="480"/>
        <w:rPr>
          <w:rFonts w:cs="宋体"/>
          <w:bCs/>
          <w:kern w:val="2"/>
          <w:szCs w:val="24"/>
        </w:rPr>
      </w:pPr>
      <w:r>
        <w:rPr>
          <w:rFonts w:hint="eastAsia" w:cs="宋体"/>
          <w:bCs/>
          <w:kern w:val="2"/>
          <w:szCs w:val="24"/>
        </w:rPr>
        <w:t>对于带压堵漏项目，由各车间技术员于设备管理系统上进行相应信息填报，填报完成后，推送至工智道进行作业票证审批，审批完成，进行作业，作业完成后，闭环工智道作业票证，同时对设备管理系统上该带压堵漏作业进行闭环。系统应当汇总所有带压堵漏项目，形成带压堵漏汇总表，在后续涉及某区域进行停车检修时，推送相应带压堵漏项目，从而进行带压堵漏项目的消除。</w:t>
      </w:r>
    </w:p>
    <w:p w14:paraId="4BB27394">
      <w:pPr>
        <w:spacing w:line="360" w:lineRule="auto"/>
        <w:ind w:firstLine="482"/>
        <w:rPr>
          <w:rFonts w:hint="eastAsia" w:cs="宋体"/>
          <w:bCs/>
          <w:kern w:val="2"/>
          <w:szCs w:val="24"/>
        </w:rPr>
      </w:pPr>
      <w:r>
        <w:rPr>
          <w:rFonts w:hint="eastAsia" w:cs="宋体"/>
          <w:b/>
          <w:kern w:val="2"/>
          <w:szCs w:val="24"/>
        </w:rPr>
        <w:t>流程示意：</w:t>
      </w:r>
    </w:p>
    <w:p w14:paraId="43E38E02">
      <w:pPr>
        <w:spacing w:line="360" w:lineRule="auto"/>
        <w:ind w:firstLine="480"/>
        <w:jc w:val="left"/>
        <w:rPr>
          <w:rFonts w:cs="宋体"/>
          <w:bCs/>
          <w:kern w:val="2"/>
          <w:szCs w:val="24"/>
        </w:rPr>
      </w:pPr>
      <w:bookmarkStart w:id="189" w:name="_MON_1786632584"/>
      <w:bookmarkEnd w:id="189"/>
      <w:r>
        <w:rPr>
          <w:rFonts w:hint="eastAsia" w:cs="宋体"/>
          <w:bCs/>
          <w:kern w:val="2"/>
          <w:szCs w:val="24"/>
        </w:rPr>
        <w:object>
          <v:shape id="_x0000_i1028" o:spt="75" type="#_x0000_t75" style="height:218pt;width:362pt;" o:ole="t" filled="f" o:preferrelative="t" stroked="f" coordsize="21600,21600">
            <v:path/>
            <v:fill on="f" focussize="0,0"/>
            <v:stroke on="f" joinstyle="miter"/>
            <v:imagedata r:id="rId22" o:title=""/>
            <o:lock v:ext="edit" aspectratio="t"/>
            <w10:wrap type="none"/>
            <w10:anchorlock/>
          </v:shape>
          <o:OLEObject Type="Embed" ProgID="Visio.Drawing.15" ShapeID="_x0000_i1028" DrawAspect="Content" ObjectID="_1468075728" r:id="rId21">
            <o:LockedField>false</o:LockedField>
          </o:OLEObject>
        </w:object>
      </w:r>
    </w:p>
    <w:p w14:paraId="0BCBC290">
      <w:pPr>
        <w:spacing w:line="360" w:lineRule="auto"/>
        <w:ind w:firstLine="482"/>
        <w:rPr>
          <w:rFonts w:cs="宋体"/>
          <w:b/>
          <w:kern w:val="2"/>
          <w:szCs w:val="24"/>
        </w:rPr>
      </w:pPr>
      <w:r>
        <w:rPr>
          <w:rFonts w:hint="eastAsia" w:cs="宋体"/>
          <w:b/>
          <w:kern w:val="2"/>
          <w:szCs w:val="24"/>
        </w:rPr>
        <w:t>要求：</w:t>
      </w:r>
    </w:p>
    <w:p w14:paraId="22F3CE01">
      <w:pPr>
        <w:spacing w:line="360" w:lineRule="auto"/>
        <w:ind w:firstLine="480"/>
        <w:rPr>
          <w:rFonts w:cs="宋体"/>
          <w:bCs/>
          <w:kern w:val="2"/>
          <w:szCs w:val="24"/>
        </w:rPr>
      </w:pPr>
      <w:r>
        <w:rPr>
          <w:rFonts w:hint="eastAsia" w:cs="宋体"/>
          <w:bCs/>
          <w:kern w:val="2"/>
          <w:szCs w:val="24"/>
        </w:rPr>
        <w:t>1.通知单制作生成便捷；</w:t>
      </w:r>
    </w:p>
    <w:p w14:paraId="7E32BEF9">
      <w:pPr>
        <w:spacing w:line="360" w:lineRule="auto"/>
        <w:ind w:firstLine="480"/>
        <w:rPr>
          <w:rFonts w:cs="宋体"/>
          <w:bCs/>
          <w:kern w:val="2"/>
          <w:szCs w:val="24"/>
        </w:rPr>
      </w:pPr>
      <w:r>
        <w:rPr>
          <w:rFonts w:hint="eastAsia" w:cs="宋体"/>
          <w:bCs/>
          <w:kern w:val="2"/>
          <w:szCs w:val="24"/>
        </w:rPr>
        <w:t>2.应当可对重复检修自定义时间进行统计汇总，形成相应报表；</w:t>
      </w:r>
    </w:p>
    <w:p w14:paraId="7BD542A6">
      <w:pPr>
        <w:spacing w:line="360" w:lineRule="auto"/>
        <w:ind w:firstLine="480"/>
        <w:rPr>
          <w:rFonts w:cs="宋体"/>
          <w:bCs/>
          <w:kern w:val="2"/>
          <w:szCs w:val="24"/>
        </w:rPr>
      </w:pPr>
      <w:r>
        <w:rPr>
          <w:rFonts w:hint="eastAsia" w:cs="宋体"/>
          <w:bCs/>
          <w:kern w:val="2"/>
          <w:szCs w:val="24"/>
        </w:rPr>
        <w:t>3.对各类故障原因，需要进行汇总分析，形成每月或其他自定时间的检修原因统计报表；</w:t>
      </w:r>
    </w:p>
    <w:p w14:paraId="3F6AE599">
      <w:pPr>
        <w:spacing w:line="360" w:lineRule="auto"/>
        <w:ind w:firstLine="480"/>
        <w:rPr>
          <w:rFonts w:cs="宋体"/>
          <w:bCs/>
          <w:kern w:val="2"/>
          <w:szCs w:val="24"/>
        </w:rPr>
      </w:pPr>
      <w:r>
        <w:rPr>
          <w:rFonts w:hint="eastAsia" w:cs="宋体"/>
          <w:bCs/>
          <w:kern w:val="2"/>
          <w:szCs w:val="24"/>
        </w:rPr>
        <w:t>4.出现故障检修时，应当对前述体现的设备完好率进行自动调整；</w:t>
      </w:r>
    </w:p>
    <w:p w14:paraId="02F6EBD6">
      <w:pPr>
        <w:spacing w:line="360" w:lineRule="auto"/>
        <w:ind w:firstLine="480"/>
        <w:rPr>
          <w:rFonts w:cs="宋体"/>
          <w:bCs/>
          <w:kern w:val="2"/>
          <w:szCs w:val="24"/>
        </w:rPr>
      </w:pPr>
      <w:r>
        <w:rPr>
          <w:rFonts w:hint="eastAsia" w:cs="宋体"/>
          <w:bCs/>
          <w:kern w:val="2"/>
          <w:szCs w:val="24"/>
        </w:rPr>
        <w:t>5.系统应当对延期处理的问题形成相应待处理问题清单。（可以进行联动，在监测到DCS系统某装置内所有机泵停止运行时，进行推送；或在某备件到货后，自动提示需进行处理。）</w:t>
      </w:r>
    </w:p>
    <w:p w14:paraId="55C22EA2">
      <w:pPr>
        <w:spacing w:line="360" w:lineRule="auto"/>
        <w:ind w:firstLine="480"/>
        <w:rPr>
          <w:rFonts w:cs="宋体"/>
          <w:bCs/>
          <w:kern w:val="2"/>
          <w:szCs w:val="24"/>
        </w:rPr>
      </w:pPr>
      <w:r>
        <w:rPr>
          <w:rFonts w:hint="eastAsia" w:cs="宋体"/>
          <w:bCs/>
          <w:kern w:val="2"/>
          <w:szCs w:val="24"/>
        </w:rPr>
        <w:t>6.当维修时间及维保人员确定后，当天17：30汇总明日所需进行工作计划，提报相应工作票推送至工智道，并提示技术员及维保队长明日工作计划；</w:t>
      </w:r>
    </w:p>
    <w:p w14:paraId="1583D80B">
      <w:pPr>
        <w:spacing w:line="360" w:lineRule="auto"/>
        <w:ind w:firstLine="480"/>
        <w:rPr>
          <w:rFonts w:cs="宋体"/>
          <w:bCs/>
          <w:kern w:val="2"/>
          <w:szCs w:val="24"/>
        </w:rPr>
      </w:pPr>
      <w:r>
        <w:rPr>
          <w:rFonts w:hint="eastAsia" w:cs="宋体"/>
          <w:bCs/>
          <w:kern w:val="2"/>
          <w:szCs w:val="24"/>
        </w:rPr>
        <w:t>7.同时系统应当根据选择所需要的领料自动带入备件费用，相应人工费用及其他费用等由技术员进行录入。为后续统计检修费用等提供便利，以直接得出某一类设备，某一时间段，某一种维修的费用报表。</w:t>
      </w:r>
    </w:p>
    <w:p w14:paraId="7E03EAA5">
      <w:pPr>
        <w:spacing w:line="360" w:lineRule="auto"/>
        <w:ind w:firstLine="482"/>
        <w:rPr>
          <w:rFonts w:cs="宋体"/>
          <w:bCs/>
          <w:kern w:val="2"/>
          <w:szCs w:val="24"/>
        </w:rPr>
      </w:pPr>
      <w:r>
        <w:rPr>
          <w:rFonts w:hint="eastAsia" w:cs="宋体"/>
          <w:b/>
          <w:kern w:val="2"/>
          <w:szCs w:val="24"/>
        </w:rPr>
        <w:t>操作：</w:t>
      </w:r>
      <w:r>
        <w:rPr>
          <w:rFonts w:hint="eastAsia" w:cs="宋体"/>
          <w:bCs/>
          <w:kern w:val="2"/>
          <w:szCs w:val="24"/>
        </w:rPr>
        <w:t>1.操作人员或专业技术员其他人员等发起故障记录单，并录入相应信息；2.专业技术员收单，安排处理，原因分析，进行闭环；3.维保队长确定处理维保人员名字；4.车间主任验收；5.延期流程，相应领导进行确认。</w:t>
      </w:r>
    </w:p>
    <w:p w14:paraId="774DB52C">
      <w:pPr>
        <w:spacing w:line="360" w:lineRule="auto"/>
        <w:ind w:firstLine="482"/>
        <w:outlineLvl w:val="3"/>
        <w:rPr>
          <w:b/>
          <w:bCs/>
          <w:szCs w:val="24"/>
        </w:rPr>
      </w:pPr>
      <w:bookmarkStart w:id="190" w:name="_Toc7400"/>
      <w:bookmarkStart w:id="191" w:name="_Toc179921455"/>
      <w:r>
        <w:rPr>
          <w:rFonts w:hint="eastAsia"/>
          <w:b/>
          <w:bCs/>
          <w:szCs w:val="24"/>
        </w:rPr>
        <w:t>3.3设备定期维护</w:t>
      </w:r>
      <w:bookmarkEnd w:id="190"/>
      <w:bookmarkEnd w:id="191"/>
    </w:p>
    <w:p w14:paraId="7B2C554A">
      <w:pPr>
        <w:spacing w:line="360" w:lineRule="auto"/>
        <w:ind w:firstLine="480"/>
      </w:pPr>
      <w:r>
        <w:rPr>
          <w:rFonts w:hint="eastAsia" w:cs="宋体"/>
          <w:bCs/>
          <w:kern w:val="2"/>
          <w:szCs w:val="24"/>
        </w:rPr>
        <w:t>此处应当展示当月维护任务，下月维护任务，大修维护任务，其他定期检查工作（特种设备月度检查，定期测厚）等，</w:t>
      </w:r>
      <w:r>
        <w:rPr>
          <w:rFonts w:hint="eastAsia"/>
        </w:rPr>
        <w:t>支持管理和调度设备定期维保任务，并提供动、静、电、仪各专业设备的定时性事务清单模板；支持根据预设的时间表自动生成任务，并提醒相关人员执行；支持任务的配置、生成、分配、执行，确保设备按照既定的维护计划进行维护。</w:t>
      </w:r>
      <w:r>
        <w:rPr>
          <w:rFonts w:hint="eastAsia" w:cs="宋体"/>
          <w:bCs/>
          <w:kern w:val="2"/>
          <w:szCs w:val="24"/>
        </w:rPr>
        <w:t>维护策略执行完毕后，应当上传相应维护记录。（直接填写数据，根据对应维护策略制定相应确认记录）。若因生产或其他原因不能进行维护任务时，应当批量选择发起相应延期审批，一般及重要设备维护任务由车间主任及设备部主任审批，关键设备维护任务延期应当由分管领导审批，随后由系统进行自动归纳，挪移。</w:t>
      </w:r>
    </w:p>
    <w:p w14:paraId="6ED0DEE8">
      <w:pPr>
        <w:spacing w:line="360" w:lineRule="auto"/>
        <w:ind w:firstLine="482"/>
        <w:rPr>
          <w:rFonts w:cs="宋体"/>
          <w:b/>
          <w:kern w:val="2"/>
          <w:szCs w:val="24"/>
        </w:rPr>
      </w:pPr>
      <w:r>
        <w:rPr>
          <w:rFonts w:hint="eastAsia" w:cs="宋体"/>
          <w:b/>
          <w:kern w:val="2"/>
          <w:szCs w:val="24"/>
        </w:rPr>
        <w:t>要求：</w:t>
      </w:r>
    </w:p>
    <w:p w14:paraId="5E046131">
      <w:pPr>
        <w:spacing w:line="360" w:lineRule="auto"/>
        <w:ind w:firstLine="480"/>
        <w:rPr>
          <w:rFonts w:cs="宋体"/>
          <w:bCs/>
          <w:kern w:val="2"/>
          <w:szCs w:val="24"/>
        </w:rPr>
      </w:pPr>
      <w:r>
        <w:rPr>
          <w:rFonts w:hint="eastAsia" w:cs="宋体"/>
          <w:bCs/>
          <w:kern w:val="2"/>
          <w:szCs w:val="24"/>
        </w:rPr>
        <w:t>1.维护策略应当提前推送，每月统计任务完成情况，当月未完成任务，推送至车间主任及设备部专员，汇总所有项目；</w:t>
      </w:r>
    </w:p>
    <w:p w14:paraId="691178D4">
      <w:pPr>
        <w:spacing w:line="360" w:lineRule="auto"/>
        <w:ind w:firstLine="480"/>
        <w:rPr>
          <w:rFonts w:cs="宋体"/>
          <w:bCs/>
          <w:kern w:val="2"/>
          <w:szCs w:val="24"/>
        </w:rPr>
      </w:pPr>
      <w:r>
        <w:rPr>
          <w:rFonts w:hint="eastAsia" w:cs="宋体"/>
          <w:bCs/>
          <w:kern w:val="2"/>
          <w:szCs w:val="24"/>
        </w:rPr>
        <w:t>2.有进行延期审批的维护任务，系统应当自动迁移，且后续的维护任务应当顺延，即在每次任务完成后加上相应维护间隔作为下次维护时间；</w:t>
      </w:r>
    </w:p>
    <w:p w14:paraId="19C86619">
      <w:pPr>
        <w:spacing w:line="360" w:lineRule="auto"/>
        <w:ind w:firstLine="480"/>
        <w:rPr>
          <w:rFonts w:hint="eastAsia"/>
        </w:rPr>
      </w:pPr>
      <w:r>
        <w:rPr>
          <w:rFonts w:hint="eastAsia" w:cs="宋体"/>
          <w:bCs/>
          <w:kern w:val="2"/>
          <w:szCs w:val="24"/>
        </w:rPr>
        <w:t>3.</w:t>
      </w:r>
      <w:r>
        <w:rPr>
          <w:rFonts w:hint="eastAsia"/>
        </w:rPr>
        <w:t xml:space="preserve"> 支持对即将到期的维护任务进行预警提醒，对已过期而未执行的维护进行报警提醒。</w:t>
      </w:r>
    </w:p>
    <w:p w14:paraId="5E5549A9">
      <w:pPr>
        <w:spacing w:line="360" w:lineRule="auto"/>
        <w:ind w:firstLine="482"/>
        <w:rPr>
          <w:rFonts w:cs="宋体"/>
          <w:bCs/>
          <w:kern w:val="2"/>
          <w:szCs w:val="24"/>
        </w:rPr>
      </w:pPr>
      <w:r>
        <w:rPr>
          <w:rFonts w:hint="eastAsia" w:cs="宋体"/>
          <w:b/>
          <w:kern w:val="2"/>
          <w:szCs w:val="24"/>
        </w:rPr>
        <w:t>操作：</w:t>
      </w:r>
      <w:r>
        <w:rPr>
          <w:rFonts w:hint="eastAsia" w:cs="宋体"/>
          <w:bCs/>
          <w:kern w:val="2"/>
          <w:szCs w:val="24"/>
        </w:rPr>
        <w:t>1.各专业技术员发起相应维护策略延期流程，维护任务闭环；2.相应主任及分管领导审批。</w:t>
      </w:r>
    </w:p>
    <w:p w14:paraId="08F7C0C6">
      <w:pPr>
        <w:spacing w:line="360" w:lineRule="auto"/>
        <w:ind w:firstLine="482"/>
        <w:rPr>
          <w:rFonts w:cs="宋体"/>
          <w:bCs/>
          <w:kern w:val="2"/>
          <w:szCs w:val="24"/>
        </w:rPr>
      </w:pPr>
      <w:r>
        <w:rPr>
          <w:rFonts w:hint="eastAsia" w:cs="宋体"/>
          <w:b/>
          <w:kern w:val="2"/>
          <w:szCs w:val="24"/>
        </w:rPr>
        <w:t>权限：</w:t>
      </w:r>
      <w:r>
        <w:rPr>
          <w:rFonts w:hint="eastAsia" w:cs="宋体"/>
          <w:bCs/>
          <w:kern w:val="2"/>
          <w:szCs w:val="24"/>
        </w:rPr>
        <w:t>1.各专业技术员延期申请权限；2.主任及领导审批权。</w:t>
      </w:r>
    </w:p>
    <w:p w14:paraId="23AB2062">
      <w:pPr>
        <w:spacing w:line="360" w:lineRule="auto"/>
        <w:ind w:firstLine="482"/>
        <w:outlineLvl w:val="3"/>
        <w:rPr>
          <w:b/>
          <w:bCs/>
          <w:szCs w:val="24"/>
        </w:rPr>
      </w:pPr>
      <w:bookmarkStart w:id="192" w:name="_Toc179921456"/>
      <w:bookmarkStart w:id="193" w:name="_Toc7695"/>
      <w:r>
        <w:rPr>
          <w:rFonts w:hint="eastAsia"/>
          <w:b/>
          <w:bCs/>
          <w:szCs w:val="24"/>
        </w:rPr>
        <w:t>3.4检维修</w:t>
      </w:r>
      <w:bookmarkEnd w:id="192"/>
      <w:r>
        <w:rPr>
          <w:rFonts w:hint="eastAsia"/>
          <w:b/>
          <w:bCs/>
          <w:szCs w:val="24"/>
        </w:rPr>
        <w:t>管理</w:t>
      </w:r>
      <w:bookmarkEnd w:id="193"/>
    </w:p>
    <w:p w14:paraId="770608C5">
      <w:pPr>
        <w:pStyle w:val="6"/>
        <w:numPr>
          <w:ilvl w:val="4"/>
          <w:numId w:val="0"/>
        </w:numPr>
        <w:ind w:left="485" w:leftChars="202"/>
        <w:rPr>
          <w:rFonts w:asciiTheme="minorEastAsia" w:hAnsiTheme="minorEastAsia"/>
          <w:color w:val="auto"/>
        </w:rPr>
      </w:pPr>
      <w:r>
        <w:rPr>
          <w:rFonts w:hint="eastAsia" w:asciiTheme="minorEastAsia" w:hAnsiTheme="minorEastAsia"/>
          <w:color w:val="auto"/>
        </w:rPr>
        <w:t>3.4.1检维修队伍</w:t>
      </w:r>
    </w:p>
    <w:p w14:paraId="3D8B5E1C">
      <w:pPr>
        <w:spacing w:line="360" w:lineRule="auto"/>
        <w:ind w:firstLine="480"/>
        <w:rPr>
          <w:rFonts w:cs="宋体"/>
          <w:b/>
          <w:kern w:val="2"/>
          <w:szCs w:val="24"/>
        </w:rPr>
      </w:pPr>
      <w:r>
        <w:rPr>
          <w:rFonts w:hint="eastAsia" w:cs="宋体"/>
          <w:bCs/>
          <w:kern w:val="2"/>
          <w:szCs w:val="24"/>
        </w:rPr>
        <w:t>该模块具有各区域所有维保人员信息，证件信息等（可从公司内承包商管理系统中导入），且能体现每位维保人员各自检修工作量，由安排的工作计划及故障处理等数据进行汇总统计。</w:t>
      </w:r>
      <w:r>
        <w:rPr>
          <w:rFonts w:hint="eastAsia" w:cs="宋体"/>
          <w:bCs/>
          <w:kern w:val="2"/>
          <w:szCs w:val="24"/>
        </w:rPr>
        <w:cr/>
      </w:r>
      <w:r>
        <w:rPr>
          <w:rFonts w:hint="eastAsia" w:cs="宋体"/>
          <w:b/>
          <w:kern w:val="2"/>
          <w:szCs w:val="24"/>
        </w:rPr>
        <w:t>要求：</w:t>
      </w:r>
    </w:p>
    <w:p w14:paraId="26A62B6B">
      <w:pPr>
        <w:spacing w:line="360" w:lineRule="auto"/>
        <w:ind w:firstLine="480"/>
        <w:rPr>
          <w:b/>
          <w:bCs/>
          <w:szCs w:val="24"/>
        </w:rPr>
      </w:pPr>
      <w:r>
        <w:rPr>
          <w:rFonts w:hint="eastAsia" w:cs="宋体"/>
          <w:bCs/>
          <w:kern w:val="2"/>
          <w:szCs w:val="24"/>
        </w:rPr>
        <w:t>1.能关联其余模块中提报的工作量，汇总维保人员的每天工作量。</w:t>
      </w:r>
      <w:r>
        <w:rPr>
          <w:rFonts w:hint="eastAsia" w:cs="宋体"/>
          <w:bCs/>
          <w:kern w:val="2"/>
          <w:szCs w:val="24"/>
        </w:rPr>
        <w:cr/>
      </w:r>
      <w:r>
        <w:rPr>
          <w:rFonts w:hint="eastAsia" w:cs="宋体"/>
          <w:b/>
          <w:kern w:val="2"/>
          <w:szCs w:val="24"/>
        </w:rPr>
        <w:t>操作：</w:t>
      </w:r>
      <w:r>
        <w:rPr>
          <w:rFonts w:hint="eastAsia" w:cs="宋体"/>
          <w:bCs/>
          <w:kern w:val="2"/>
          <w:szCs w:val="24"/>
        </w:rPr>
        <w:t>1.查看相应维保人员工作量；</w:t>
      </w:r>
      <w:r>
        <w:rPr>
          <w:rFonts w:hint="eastAsia" w:cs="宋体"/>
          <w:bCs/>
          <w:kern w:val="2"/>
          <w:szCs w:val="24"/>
        </w:rPr>
        <w:cr/>
      </w:r>
      <w:r>
        <w:rPr>
          <w:rFonts w:hint="eastAsia" w:cs="宋体"/>
          <w:b/>
          <w:kern w:val="2"/>
          <w:szCs w:val="24"/>
        </w:rPr>
        <w:t>权限：</w:t>
      </w:r>
      <w:r>
        <w:rPr>
          <w:rFonts w:hint="eastAsia" w:cs="宋体"/>
          <w:bCs/>
          <w:kern w:val="2"/>
          <w:szCs w:val="24"/>
        </w:rPr>
        <w:t>1.相应人员修改人员信息权限。</w:t>
      </w:r>
    </w:p>
    <w:p w14:paraId="4FDC7A24">
      <w:pPr>
        <w:pStyle w:val="6"/>
        <w:numPr>
          <w:ilvl w:val="4"/>
          <w:numId w:val="0"/>
        </w:numPr>
        <w:ind w:left="485" w:leftChars="202"/>
        <w:rPr>
          <w:rFonts w:asciiTheme="minorEastAsia" w:hAnsiTheme="minorEastAsia"/>
          <w:color w:val="auto"/>
        </w:rPr>
      </w:pPr>
      <w:r>
        <w:rPr>
          <w:rFonts w:hint="eastAsia" w:asciiTheme="minorEastAsia" w:hAnsiTheme="minorEastAsia"/>
          <w:color w:val="auto"/>
        </w:rPr>
        <w:t>3.4.2工器具台账</w:t>
      </w:r>
    </w:p>
    <w:p w14:paraId="5846A1DA">
      <w:pPr>
        <w:spacing w:line="360" w:lineRule="auto"/>
        <w:ind w:firstLine="480"/>
        <w:rPr>
          <w:rFonts w:cs="宋体"/>
          <w:bCs/>
          <w:kern w:val="2"/>
          <w:szCs w:val="24"/>
        </w:rPr>
      </w:pPr>
      <w:r>
        <w:rPr>
          <w:rFonts w:hint="eastAsia" w:cs="宋体"/>
          <w:bCs/>
          <w:kern w:val="2"/>
          <w:szCs w:val="24"/>
        </w:rPr>
        <w:t>于此处登记维保的所有工器具，及各专业技术工具，并可根据此处发起相应采购，进行自动关联到货出库情况。</w:t>
      </w:r>
    </w:p>
    <w:p w14:paraId="4B9028A7">
      <w:pPr>
        <w:pStyle w:val="6"/>
        <w:numPr>
          <w:ilvl w:val="4"/>
          <w:numId w:val="0"/>
        </w:numPr>
        <w:ind w:left="485" w:leftChars="202"/>
        <w:rPr>
          <w:rFonts w:asciiTheme="minorEastAsia" w:hAnsiTheme="minorEastAsia"/>
          <w:color w:val="auto"/>
        </w:rPr>
      </w:pPr>
      <w:r>
        <w:rPr>
          <w:rFonts w:hint="eastAsia" w:asciiTheme="minorEastAsia" w:hAnsiTheme="minorEastAsia"/>
          <w:color w:val="auto"/>
        </w:rPr>
        <w:t>3.4.3检修质量验收</w:t>
      </w:r>
    </w:p>
    <w:p w14:paraId="73DC4059">
      <w:pPr>
        <w:spacing w:line="360" w:lineRule="auto"/>
        <w:ind w:firstLine="480"/>
      </w:pPr>
      <w:r>
        <w:rPr>
          <w:rFonts w:hint="eastAsia"/>
        </w:rPr>
        <w:t>支持设定检修质量标准、记录检修过程、形成质量检查清单；同时支持自定义多级验收流程，跟踪每个验收步骤的状态和结果。</w:t>
      </w:r>
    </w:p>
    <w:p w14:paraId="2FDF2983">
      <w:pPr>
        <w:pStyle w:val="6"/>
        <w:numPr>
          <w:ilvl w:val="4"/>
          <w:numId w:val="0"/>
        </w:numPr>
        <w:ind w:left="485" w:leftChars="202"/>
        <w:rPr>
          <w:rFonts w:asciiTheme="minorEastAsia" w:hAnsiTheme="minorEastAsia"/>
          <w:color w:val="auto"/>
        </w:rPr>
      </w:pPr>
      <w:r>
        <w:rPr>
          <w:rFonts w:hint="eastAsia" w:asciiTheme="minorEastAsia" w:hAnsiTheme="minorEastAsia"/>
          <w:color w:val="auto"/>
        </w:rPr>
        <w:t>3.4.4检修计划</w:t>
      </w:r>
    </w:p>
    <w:p w14:paraId="2ED91B79">
      <w:pPr>
        <w:spacing w:line="360" w:lineRule="auto"/>
        <w:ind w:firstLine="480"/>
      </w:pPr>
      <w:r>
        <w:rPr>
          <w:rFonts w:hint="eastAsia"/>
        </w:rPr>
        <w:t>支持检修计划的制定、提交和执行。</w:t>
      </w:r>
    </w:p>
    <w:p w14:paraId="7B7238ED">
      <w:pPr>
        <w:spacing w:line="360" w:lineRule="auto"/>
        <w:ind w:firstLine="480"/>
      </w:pPr>
      <w:r>
        <w:rPr>
          <w:rFonts w:hint="eastAsia"/>
        </w:rPr>
        <w:t>3.4.5检修作业票</w:t>
      </w:r>
    </w:p>
    <w:p w14:paraId="4A9DD320">
      <w:pPr>
        <w:spacing w:line="360" w:lineRule="auto"/>
        <w:ind w:firstLine="480"/>
        <w:rPr>
          <w:rFonts w:hint="eastAsia"/>
        </w:rPr>
      </w:pPr>
      <w:r>
        <w:rPr>
          <w:rFonts w:hint="eastAsia"/>
        </w:rPr>
        <w:t>支持对接获取不同类型作业票的模板和表单，以确保作业票的标准化和一致性；支持对接获取作业票的状态、进度和完成情况，实时跟踪和监控工作进展互联互通，实现数据一体化管理。</w:t>
      </w:r>
    </w:p>
    <w:p w14:paraId="28BBFBD1">
      <w:pPr>
        <w:spacing w:line="360" w:lineRule="auto"/>
        <w:ind w:firstLine="482"/>
        <w:outlineLvl w:val="3"/>
        <w:rPr>
          <w:b/>
          <w:bCs/>
          <w:szCs w:val="24"/>
        </w:rPr>
      </w:pPr>
      <w:bookmarkStart w:id="194" w:name="_Toc24951"/>
      <w:bookmarkStart w:id="195" w:name="_Toc179921457"/>
      <w:r>
        <w:rPr>
          <w:rFonts w:hint="eastAsia"/>
          <w:b/>
          <w:bCs/>
          <w:szCs w:val="24"/>
        </w:rPr>
        <w:t>3.5库存管理</w:t>
      </w:r>
      <w:bookmarkEnd w:id="194"/>
      <w:bookmarkEnd w:id="195"/>
    </w:p>
    <w:p w14:paraId="4EB84FAD">
      <w:pPr>
        <w:pStyle w:val="6"/>
        <w:numPr>
          <w:ilvl w:val="4"/>
          <w:numId w:val="0"/>
        </w:numPr>
        <w:ind w:left="485" w:leftChars="202"/>
        <w:rPr>
          <w:rFonts w:asciiTheme="minorEastAsia" w:hAnsiTheme="minorEastAsia"/>
          <w:color w:val="auto"/>
        </w:rPr>
      </w:pPr>
      <w:r>
        <w:rPr>
          <w:rFonts w:hint="eastAsia" w:asciiTheme="minorEastAsia" w:hAnsiTheme="minorEastAsia"/>
          <w:color w:val="auto"/>
        </w:rPr>
        <w:t>3.5.1备品备件台账</w:t>
      </w:r>
    </w:p>
    <w:p w14:paraId="0FD57605">
      <w:pPr>
        <w:spacing w:line="360" w:lineRule="auto"/>
        <w:ind w:firstLine="480"/>
        <w:rPr>
          <w:rFonts w:cs="宋体"/>
          <w:bCs/>
          <w:kern w:val="2"/>
          <w:szCs w:val="24"/>
        </w:rPr>
      </w:pPr>
      <w:r>
        <w:rPr>
          <w:rFonts w:hint="eastAsia" w:cs="宋体"/>
          <w:bCs/>
          <w:kern w:val="2"/>
          <w:szCs w:val="24"/>
        </w:rPr>
        <w:tab/>
      </w:r>
      <w:r>
        <w:rPr>
          <w:rFonts w:hint="eastAsia" w:cs="宋体"/>
          <w:bCs/>
          <w:kern w:val="2"/>
          <w:szCs w:val="24"/>
        </w:rPr>
        <w:t>在此处展示所有备件信息（包括备件的常规信息，可以查询备件库存、出入库情况），系统应当根据相应物编查询BIP系统中该备件的库存情况；在对应备件台账信息中可设置相应最低库存，低于设定库存量一定值时，系统应进行提醒，并自动发起相应备件采购流程，提出采购。</w:t>
      </w:r>
    </w:p>
    <w:p w14:paraId="0B1D4CF3">
      <w:pPr>
        <w:spacing w:line="360" w:lineRule="auto"/>
        <w:ind w:firstLine="482"/>
        <w:rPr>
          <w:rFonts w:cs="宋体"/>
          <w:b/>
          <w:kern w:val="2"/>
          <w:szCs w:val="24"/>
        </w:rPr>
      </w:pPr>
      <w:r>
        <w:rPr>
          <w:rFonts w:hint="eastAsia" w:cs="宋体"/>
          <w:b/>
          <w:kern w:val="2"/>
          <w:szCs w:val="24"/>
        </w:rPr>
        <w:t>要求：</w:t>
      </w:r>
    </w:p>
    <w:p w14:paraId="7E1DC36A">
      <w:pPr>
        <w:spacing w:line="360" w:lineRule="auto"/>
        <w:ind w:firstLine="480"/>
        <w:rPr>
          <w:rFonts w:cs="宋体"/>
          <w:bCs/>
          <w:kern w:val="2"/>
          <w:szCs w:val="24"/>
        </w:rPr>
      </w:pPr>
      <w:r>
        <w:rPr>
          <w:rFonts w:hint="eastAsia" w:cs="宋体"/>
          <w:bCs/>
          <w:kern w:val="2"/>
          <w:szCs w:val="24"/>
        </w:rPr>
        <w:t>1.能根据前述模块中的物编库，采购及到货流程，自动更新备件库存情况；</w:t>
      </w:r>
    </w:p>
    <w:p w14:paraId="56DEC21A">
      <w:pPr>
        <w:spacing w:line="360" w:lineRule="auto"/>
        <w:ind w:firstLine="480"/>
        <w:rPr>
          <w:rFonts w:cs="宋体"/>
          <w:bCs/>
          <w:kern w:val="2"/>
          <w:szCs w:val="24"/>
        </w:rPr>
      </w:pPr>
      <w:r>
        <w:rPr>
          <w:rFonts w:hint="eastAsia" w:cs="宋体"/>
          <w:bCs/>
          <w:kern w:val="2"/>
          <w:szCs w:val="24"/>
        </w:rPr>
        <w:t>2.应当记录每件备件入库时间，并可自定设置相应出库时间间隔，在超出出库时间设定后，系统应当进行提醒，推送至采购人员及设备部专员。</w:t>
      </w:r>
    </w:p>
    <w:p w14:paraId="3AC93E61">
      <w:pPr>
        <w:spacing w:line="360" w:lineRule="auto"/>
        <w:ind w:firstLine="480"/>
        <w:rPr>
          <w:rFonts w:cs="宋体"/>
          <w:bCs/>
          <w:kern w:val="2"/>
          <w:szCs w:val="24"/>
        </w:rPr>
      </w:pPr>
      <w:r>
        <w:rPr>
          <w:rFonts w:hint="eastAsia" w:cs="宋体"/>
          <w:bCs/>
          <w:kern w:val="2"/>
          <w:szCs w:val="24"/>
        </w:rPr>
        <w:t>3.备件库存分析模块：根据安全库存备件的出入库状况及库存状况，提出对安全库存的优化建议，比如哪些安全库存备件领用（较多/较少）应（增加/减少）安全库存的设置量。</w:t>
      </w:r>
    </w:p>
    <w:p w14:paraId="556AEE65">
      <w:pPr>
        <w:spacing w:line="360" w:lineRule="auto"/>
        <w:ind w:firstLine="480"/>
        <w:rPr>
          <w:rFonts w:cs="宋体"/>
          <w:bCs/>
          <w:kern w:val="2"/>
          <w:szCs w:val="24"/>
        </w:rPr>
      </w:pPr>
      <w:r>
        <w:rPr>
          <w:rFonts w:hint="eastAsia" w:cs="宋体"/>
          <w:bCs/>
          <w:kern w:val="2"/>
          <w:szCs w:val="24"/>
        </w:rPr>
        <w:t>4.</w:t>
      </w:r>
      <w:r>
        <w:rPr>
          <w:rFonts w:hint="eastAsia"/>
          <w:szCs w:val="24"/>
        </w:rPr>
        <w:t>出入库记录应当与备件到货验收、出入库、异常处理时备件领用等进行相关联，同时应当包含BIP系统中的相应出入库记录。</w:t>
      </w:r>
    </w:p>
    <w:p w14:paraId="02488CC2">
      <w:pPr>
        <w:spacing w:line="360" w:lineRule="auto"/>
        <w:ind w:firstLine="482"/>
        <w:rPr>
          <w:rFonts w:cs="宋体"/>
          <w:bCs/>
          <w:kern w:val="2"/>
          <w:szCs w:val="24"/>
        </w:rPr>
      </w:pPr>
      <w:r>
        <w:rPr>
          <w:rFonts w:hint="eastAsia" w:cs="宋体"/>
          <w:b/>
          <w:kern w:val="2"/>
          <w:szCs w:val="24"/>
        </w:rPr>
        <w:t>操作：</w:t>
      </w:r>
      <w:r>
        <w:rPr>
          <w:rFonts w:hint="eastAsia" w:cs="宋体"/>
          <w:bCs/>
          <w:kern w:val="2"/>
          <w:szCs w:val="24"/>
        </w:rPr>
        <w:t>1.设定出库间隔。</w:t>
      </w:r>
    </w:p>
    <w:p w14:paraId="344CAFD1">
      <w:pPr>
        <w:spacing w:line="360" w:lineRule="auto"/>
        <w:ind w:firstLine="482"/>
        <w:rPr>
          <w:rFonts w:cs="宋体"/>
          <w:bCs/>
          <w:kern w:val="2"/>
          <w:szCs w:val="24"/>
        </w:rPr>
      </w:pPr>
      <w:r>
        <w:rPr>
          <w:rFonts w:hint="eastAsia" w:cs="宋体"/>
          <w:b/>
          <w:kern w:val="2"/>
          <w:szCs w:val="24"/>
        </w:rPr>
        <w:t>权限：</w:t>
      </w:r>
      <w:r>
        <w:rPr>
          <w:rFonts w:hint="eastAsia" w:cs="宋体"/>
          <w:bCs/>
          <w:kern w:val="2"/>
          <w:szCs w:val="24"/>
        </w:rPr>
        <w:t>1.各专业技术员出库申请；2.设备部专员时间设定权限。</w:t>
      </w:r>
    </w:p>
    <w:p w14:paraId="7D01A763">
      <w:pPr>
        <w:pStyle w:val="6"/>
        <w:numPr>
          <w:ilvl w:val="4"/>
          <w:numId w:val="0"/>
        </w:numPr>
        <w:ind w:left="485" w:leftChars="202"/>
        <w:rPr>
          <w:rFonts w:asciiTheme="minorEastAsia" w:hAnsiTheme="minorEastAsia"/>
          <w:color w:val="auto"/>
        </w:rPr>
      </w:pPr>
      <w:r>
        <w:rPr>
          <w:rFonts w:hint="eastAsia" w:asciiTheme="minorEastAsia" w:hAnsiTheme="minorEastAsia"/>
          <w:color w:val="auto"/>
        </w:rPr>
        <w:t>3.5.2备品备件出库</w:t>
      </w:r>
    </w:p>
    <w:p w14:paraId="437F763A">
      <w:pPr>
        <w:spacing w:line="360" w:lineRule="auto"/>
        <w:ind w:firstLine="480"/>
        <w:rPr>
          <w:rFonts w:cs="宋体"/>
          <w:bCs/>
          <w:kern w:val="2"/>
          <w:szCs w:val="24"/>
        </w:rPr>
      </w:pPr>
      <w:r>
        <w:rPr>
          <w:rFonts w:hint="eastAsia" w:cs="宋体"/>
          <w:bCs/>
          <w:kern w:val="2"/>
          <w:szCs w:val="24"/>
        </w:rPr>
        <w:t>依据前述故障记录通知单中检修所需的备件，自动发起相应出库申请，随后推送至BIP系统进行出库流程；也可根据需要发起出库申请，再推送至BIP系统。</w:t>
      </w:r>
    </w:p>
    <w:p w14:paraId="0BE77341">
      <w:pPr>
        <w:spacing w:line="360" w:lineRule="auto"/>
        <w:ind w:firstLine="482"/>
        <w:rPr>
          <w:rFonts w:cs="宋体"/>
          <w:b/>
          <w:kern w:val="2"/>
          <w:szCs w:val="24"/>
        </w:rPr>
      </w:pPr>
      <w:r>
        <w:rPr>
          <w:rFonts w:hint="eastAsia" w:cs="宋体"/>
          <w:b/>
          <w:kern w:val="2"/>
          <w:szCs w:val="24"/>
        </w:rPr>
        <w:t>要求：</w:t>
      </w:r>
    </w:p>
    <w:p w14:paraId="493D3278">
      <w:pPr>
        <w:spacing w:line="360" w:lineRule="auto"/>
        <w:ind w:firstLine="480"/>
        <w:rPr>
          <w:rFonts w:cs="宋体"/>
          <w:bCs/>
          <w:kern w:val="2"/>
          <w:szCs w:val="24"/>
        </w:rPr>
      </w:pPr>
      <w:r>
        <w:rPr>
          <w:rFonts w:hint="eastAsia" w:cs="宋体"/>
          <w:bCs/>
          <w:kern w:val="2"/>
          <w:szCs w:val="24"/>
        </w:rPr>
        <w:t>1.汇总统计自定义时间段内，各备件出库的类型、数量、价格等，形成相应报表；并能查询汇总某类备件在相应时间段内的出库频次，数量等，能形成对比报表。</w:t>
      </w:r>
    </w:p>
    <w:p w14:paraId="4BC605BA">
      <w:pPr>
        <w:spacing w:line="360" w:lineRule="auto"/>
        <w:ind w:firstLine="480"/>
        <w:rPr>
          <w:rFonts w:cs="宋体"/>
          <w:bCs/>
          <w:kern w:val="2"/>
          <w:szCs w:val="24"/>
        </w:rPr>
      </w:pPr>
      <w:r>
        <w:rPr>
          <w:rFonts w:hint="eastAsia" w:cs="宋体"/>
          <w:bCs/>
          <w:kern w:val="2"/>
          <w:szCs w:val="24"/>
        </w:rPr>
        <w:t>2.自动存档所有的出库记录单。</w:t>
      </w:r>
    </w:p>
    <w:p w14:paraId="06D68C23">
      <w:pPr>
        <w:spacing w:line="360" w:lineRule="auto"/>
        <w:ind w:firstLine="482"/>
        <w:rPr>
          <w:rFonts w:cs="宋体"/>
          <w:bCs/>
          <w:kern w:val="2"/>
          <w:szCs w:val="24"/>
        </w:rPr>
      </w:pPr>
      <w:r>
        <w:rPr>
          <w:rFonts w:hint="eastAsia" w:cs="宋体"/>
          <w:b/>
          <w:kern w:val="2"/>
          <w:szCs w:val="24"/>
        </w:rPr>
        <w:t>操作：</w:t>
      </w:r>
      <w:r>
        <w:rPr>
          <w:rFonts w:hint="eastAsia" w:cs="宋体"/>
          <w:bCs/>
          <w:kern w:val="2"/>
          <w:szCs w:val="24"/>
        </w:rPr>
        <w:t>1.出库申请发起。</w:t>
      </w:r>
    </w:p>
    <w:p w14:paraId="6FCACCD7">
      <w:pPr>
        <w:spacing w:line="360" w:lineRule="auto"/>
        <w:ind w:firstLine="482"/>
        <w:rPr>
          <w:rFonts w:cs="宋体"/>
          <w:bCs/>
          <w:kern w:val="2"/>
          <w:szCs w:val="24"/>
        </w:rPr>
      </w:pPr>
      <w:r>
        <w:rPr>
          <w:rFonts w:hint="eastAsia" w:cs="宋体"/>
          <w:b/>
          <w:kern w:val="2"/>
          <w:szCs w:val="24"/>
        </w:rPr>
        <w:t>权限：</w:t>
      </w:r>
      <w:r>
        <w:rPr>
          <w:rFonts w:hint="eastAsia" w:cs="宋体"/>
          <w:bCs/>
          <w:kern w:val="2"/>
          <w:szCs w:val="24"/>
        </w:rPr>
        <w:t>1.各专业技术员出库权限。</w:t>
      </w:r>
    </w:p>
    <w:p w14:paraId="522141CD">
      <w:pPr>
        <w:spacing w:line="360" w:lineRule="auto"/>
        <w:ind w:firstLine="482"/>
        <w:outlineLvl w:val="3"/>
        <w:rPr>
          <w:b/>
          <w:bCs/>
          <w:szCs w:val="24"/>
        </w:rPr>
      </w:pPr>
      <w:bookmarkStart w:id="196" w:name="_Toc179921458"/>
      <w:bookmarkStart w:id="197" w:name="_Toc280"/>
      <w:r>
        <w:rPr>
          <w:rFonts w:hint="eastAsia"/>
          <w:b/>
          <w:bCs/>
          <w:szCs w:val="24"/>
        </w:rPr>
        <w:t>3.6费用管理</w:t>
      </w:r>
      <w:bookmarkEnd w:id="196"/>
      <w:bookmarkEnd w:id="197"/>
    </w:p>
    <w:p w14:paraId="60E62C50">
      <w:pPr>
        <w:spacing w:line="360" w:lineRule="auto"/>
        <w:ind w:firstLine="480"/>
        <w:rPr>
          <w:rFonts w:cs="宋体"/>
          <w:bCs/>
          <w:kern w:val="2"/>
          <w:szCs w:val="24"/>
        </w:rPr>
      </w:pPr>
      <w:r>
        <w:rPr>
          <w:rFonts w:hint="eastAsia" w:cs="宋体"/>
          <w:bCs/>
          <w:kern w:val="2"/>
          <w:szCs w:val="24"/>
        </w:rPr>
        <w:tab/>
      </w:r>
      <w:r>
        <w:rPr>
          <w:rFonts w:hint="eastAsia" w:cs="宋体"/>
          <w:bCs/>
          <w:kern w:val="2"/>
          <w:szCs w:val="24"/>
        </w:rPr>
        <w:t>此处应当设置汇总各车间每年度不同类别预算，同时关联前述异常检修、定期维护等模块发生的费用，每月根据输出相应费用使用情况报表。</w:t>
      </w:r>
    </w:p>
    <w:p w14:paraId="793EE6E7">
      <w:pPr>
        <w:spacing w:line="360" w:lineRule="auto"/>
        <w:ind w:firstLine="480"/>
        <w:rPr>
          <w:rFonts w:cs="宋体"/>
          <w:bCs/>
          <w:kern w:val="2"/>
          <w:szCs w:val="24"/>
        </w:rPr>
      </w:pPr>
      <w:r>
        <w:rPr>
          <w:rFonts w:hint="eastAsia" w:cs="宋体"/>
          <w:bCs/>
          <w:kern w:val="2"/>
          <w:szCs w:val="24"/>
        </w:rPr>
        <w:tab/>
      </w:r>
      <w:r>
        <w:rPr>
          <w:rFonts w:hint="eastAsia" w:cs="宋体"/>
          <w:bCs/>
          <w:kern w:val="2"/>
          <w:szCs w:val="24"/>
        </w:rPr>
        <w:t>各车间于每月20号前提交下月费用支付计划表，经审批后，由系统统一汇总，并推送至设备管理部专员处，随后系统应当自动跟踪相应费用是否于BIP系统中完成相应支付审批，并更新至预算使用情况报表。</w:t>
      </w:r>
    </w:p>
    <w:p w14:paraId="7D2D370E">
      <w:pPr>
        <w:spacing w:line="360" w:lineRule="auto"/>
        <w:ind w:firstLine="482"/>
        <w:rPr>
          <w:rFonts w:cs="宋体"/>
          <w:b/>
          <w:kern w:val="2"/>
          <w:szCs w:val="24"/>
        </w:rPr>
      </w:pPr>
      <w:r>
        <w:rPr>
          <w:rFonts w:hint="eastAsia" w:cs="宋体"/>
          <w:b/>
          <w:kern w:val="2"/>
          <w:szCs w:val="24"/>
        </w:rPr>
        <w:t>要求：</w:t>
      </w:r>
    </w:p>
    <w:p w14:paraId="4AA62020">
      <w:pPr>
        <w:numPr>
          <w:ilvl w:val="0"/>
          <w:numId w:val="6"/>
        </w:numPr>
        <w:spacing w:line="360" w:lineRule="auto"/>
        <w:ind w:firstLine="480"/>
        <w:rPr>
          <w:rFonts w:cs="宋体"/>
          <w:bCs/>
          <w:kern w:val="2"/>
          <w:szCs w:val="24"/>
        </w:rPr>
      </w:pPr>
      <w:r>
        <w:rPr>
          <w:rFonts w:hint="eastAsia" w:cs="宋体"/>
          <w:bCs/>
          <w:kern w:val="2"/>
          <w:szCs w:val="24"/>
        </w:rPr>
        <w:t>每月自动关联当月其他模块发生的费用，形成相应报表；</w:t>
      </w:r>
    </w:p>
    <w:p w14:paraId="622B5832">
      <w:pPr>
        <w:numPr>
          <w:ilvl w:val="0"/>
          <w:numId w:val="6"/>
        </w:numPr>
        <w:spacing w:line="360" w:lineRule="auto"/>
        <w:ind w:firstLine="480"/>
        <w:rPr>
          <w:rFonts w:cs="宋体"/>
          <w:bCs/>
          <w:kern w:val="2"/>
          <w:szCs w:val="24"/>
        </w:rPr>
      </w:pPr>
      <w:r>
        <w:rPr>
          <w:rFonts w:hint="eastAsia" w:cs="宋体"/>
          <w:bCs/>
          <w:kern w:val="2"/>
          <w:szCs w:val="24"/>
        </w:rPr>
        <w:t>对费用具有筛选功能，能分别统计各自备件费用、人工费用、异常检修费用、定期维护的计划费用等。</w:t>
      </w:r>
    </w:p>
    <w:p w14:paraId="33E35792">
      <w:pPr>
        <w:spacing w:line="360" w:lineRule="auto"/>
        <w:ind w:firstLine="482"/>
        <w:rPr>
          <w:rFonts w:cs="宋体"/>
          <w:bCs/>
          <w:kern w:val="2"/>
          <w:szCs w:val="24"/>
        </w:rPr>
      </w:pPr>
      <w:r>
        <w:rPr>
          <w:rFonts w:hint="eastAsia" w:cs="宋体"/>
          <w:b/>
          <w:kern w:val="2"/>
          <w:szCs w:val="24"/>
        </w:rPr>
        <w:t>操作：</w:t>
      </w:r>
      <w:r>
        <w:rPr>
          <w:rFonts w:hint="eastAsia" w:cs="宋体"/>
          <w:bCs/>
          <w:kern w:val="2"/>
          <w:szCs w:val="24"/>
        </w:rPr>
        <w:t>1.设备部专人设定各车间每年预算，并根据公司要求进行调整；</w:t>
      </w:r>
    </w:p>
    <w:p w14:paraId="33A35AF9">
      <w:pPr>
        <w:spacing w:line="360" w:lineRule="auto"/>
        <w:ind w:firstLine="482"/>
        <w:rPr>
          <w:rFonts w:cs="宋体"/>
          <w:bCs/>
          <w:kern w:val="2"/>
          <w:szCs w:val="24"/>
        </w:rPr>
      </w:pPr>
      <w:r>
        <w:rPr>
          <w:rFonts w:hint="eastAsia" w:cs="宋体"/>
          <w:b/>
          <w:kern w:val="2"/>
          <w:szCs w:val="24"/>
        </w:rPr>
        <w:t>权限：</w:t>
      </w:r>
      <w:r>
        <w:rPr>
          <w:rFonts w:hint="eastAsia" w:cs="宋体"/>
          <w:bCs/>
          <w:kern w:val="2"/>
          <w:szCs w:val="24"/>
        </w:rPr>
        <w:t>1.各车间专业技术员提报费用计划表；2.设备部专员对预算设定权限；3.各专业技术员预算及下月费用计划查看权限。</w:t>
      </w:r>
    </w:p>
    <w:p w14:paraId="1CE5E19E">
      <w:pPr>
        <w:spacing w:line="360" w:lineRule="auto"/>
        <w:ind w:firstLine="482"/>
        <w:outlineLvl w:val="3"/>
        <w:rPr>
          <w:b/>
          <w:bCs/>
          <w:szCs w:val="24"/>
        </w:rPr>
      </w:pPr>
      <w:bookmarkStart w:id="198" w:name="_Toc26967"/>
      <w:bookmarkStart w:id="199" w:name="_Toc179921459"/>
      <w:r>
        <w:rPr>
          <w:rFonts w:hint="eastAsia"/>
          <w:b/>
          <w:bCs/>
          <w:szCs w:val="24"/>
        </w:rPr>
        <w:t>3.7特种设备管理</w:t>
      </w:r>
      <w:bookmarkEnd w:id="198"/>
      <w:bookmarkEnd w:id="199"/>
    </w:p>
    <w:p w14:paraId="489AE272">
      <w:pPr>
        <w:pStyle w:val="60"/>
        <w:spacing w:before="0" w:beforeLines="0" w:after="0" w:afterLines="0" w:line="360" w:lineRule="auto"/>
      </w:pPr>
      <w:r>
        <w:rPr>
          <w:rFonts w:hint="eastAsia"/>
        </w:rPr>
        <w:t>根据国家市监总局74号令要求，将对系统内特种设备进行安全员展示、并进行日管控、周排查、月调度管理。</w:t>
      </w:r>
    </w:p>
    <w:p w14:paraId="2241926B">
      <w:pPr>
        <w:pStyle w:val="60"/>
        <w:spacing w:before="0" w:beforeLines="0" w:after="0" w:afterLines="0" w:line="360" w:lineRule="auto"/>
        <w:ind w:firstLine="482"/>
      </w:pPr>
      <w:r>
        <w:rPr>
          <w:rFonts w:hint="eastAsia"/>
          <w:b/>
          <w:bCs/>
        </w:rPr>
        <w:t>安全员台账：</w:t>
      </w:r>
      <w:r>
        <w:rPr>
          <w:rFonts w:hint="eastAsia"/>
        </w:rPr>
        <w:t>将在此菜单下实现特种设备所属安全负责人信息表单的增删改查功能。</w:t>
      </w:r>
    </w:p>
    <w:p w14:paraId="3A0D381A">
      <w:pPr>
        <w:spacing w:line="360" w:lineRule="auto"/>
        <w:ind w:firstLine="482"/>
        <w:rPr>
          <w:rFonts w:cs="宋体"/>
          <w:bCs/>
          <w:kern w:val="2"/>
          <w:szCs w:val="24"/>
        </w:rPr>
      </w:pPr>
      <w:r>
        <w:rPr>
          <w:rFonts w:hint="eastAsia" w:cs="宋体"/>
          <w:b/>
          <w:kern w:val="2"/>
          <w:szCs w:val="24"/>
        </w:rPr>
        <w:t>检查台账：</w:t>
      </w:r>
      <w:r>
        <w:rPr>
          <w:rFonts w:hint="eastAsia" w:cs="宋体"/>
          <w:bCs/>
          <w:kern w:val="2"/>
          <w:szCs w:val="24"/>
        </w:rPr>
        <w:t>展示特种设备台账内的所有信息，并能汇总展示台账信息中所有2月后（时间可自由设置）到检验特种设备，并及时提醒至相应设定人员；汇总展示当年度所有到检验设备检验分布情况，形成相应图表。</w:t>
      </w:r>
    </w:p>
    <w:p w14:paraId="282DFEC9">
      <w:pPr>
        <w:spacing w:line="360" w:lineRule="auto"/>
        <w:ind w:firstLine="480"/>
        <w:rPr>
          <w:rFonts w:cs="宋体"/>
          <w:bCs/>
          <w:kern w:val="2"/>
          <w:szCs w:val="24"/>
        </w:rPr>
      </w:pPr>
    </w:p>
    <w:p w14:paraId="0794277C">
      <w:pPr>
        <w:spacing w:line="360" w:lineRule="auto"/>
        <w:ind w:firstLine="480"/>
        <w:rPr>
          <w:rFonts w:cs="宋体"/>
          <w:bCs/>
          <w:kern w:val="2"/>
          <w:szCs w:val="24"/>
        </w:rPr>
      </w:pPr>
      <w:r>
        <w:rPr>
          <w:rFonts w:hint="eastAsia" w:cs="宋体"/>
          <w:bCs/>
          <w:kern w:val="2"/>
          <w:szCs w:val="24"/>
        </w:rPr>
        <w:t>特种设备台账：</w:t>
      </w:r>
      <w:bookmarkStart w:id="200" w:name="_MON_1786003549"/>
      <w:bookmarkEnd w:id="200"/>
      <w:r>
        <w:rPr>
          <w:rFonts w:hint="eastAsia" w:cs="宋体"/>
          <w:bCs/>
          <w:kern w:val="2"/>
          <w:szCs w:val="24"/>
        </w:rPr>
        <w:object>
          <v:shape id="_x0000_i1029" o:spt="75" type="#_x0000_t75" style="height:40.25pt;width:57.5pt;" o:ole="t" filled="f" o:preferrelative="t" stroked="f" coordsize="21600,21600">
            <v:path/>
            <v:fill on="f" focussize="0,0"/>
            <v:stroke on="f" joinstyle="miter"/>
            <v:imagedata r:id="rId24" o:title=""/>
            <o:lock v:ext="edit" aspectratio="t"/>
            <w10:wrap type="none"/>
            <w10:anchorlock/>
          </v:shape>
          <o:OLEObject Type="Embed" ProgID="Excel.Sheet.12" ShapeID="_x0000_i1029" DrawAspect="Icon" ObjectID="_1468075729" r:id="rId23">
            <o:LockedField>false</o:LockedField>
          </o:OLEObject>
        </w:object>
      </w:r>
      <w:r>
        <w:rPr>
          <w:rFonts w:hint="eastAsia" w:cs="宋体"/>
          <w:bCs/>
          <w:kern w:val="2"/>
          <w:szCs w:val="24"/>
        </w:rPr>
        <w:t xml:space="preserve"> </w:t>
      </w:r>
    </w:p>
    <w:p w14:paraId="59BB77F1">
      <w:pPr>
        <w:spacing w:line="360" w:lineRule="auto"/>
        <w:ind w:firstLine="482"/>
        <w:rPr>
          <w:rFonts w:cs="宋体"/>
          <w:b/>
          <w:kern w:val="2"/>
          <w:szCs w:val="24"/>
        </w:rPr>
      </w:pPr>
      <w:r>
        <w:rPr>
          <w:rFonts w:hint="eastAsia" w:cs="宋体"/>
          <w:b/>
          <w:kern w:val="2"/>
          <w:szCs w:val="24"/>
        </w:rPr>
        <w:t>要求：</w:t>
      </w:r>
    </w:p>
    <w:p w14:paraId="07F545BA">
      <w:pPr>
        <w:spacing w:line="360" w:lineRule="auto"/>
        <w:ind w:firstLine="420" w:firstLineChars="0"/>
        <w:rPr>
          <w:rFonts w:cs="宋体"/>
          <w:bCs/>
          <w:kern w:val="2"/>
          <w:szCs w:val="24"/>
        </w:rPr>
      </w:pPr>
      <w:r>
        <w:rPr>
          <w:rFonts w:hint="eastAsia" w:cs="宋体"/>
          <w:bCs/>
          <w:kern w:val="2"/>
          <w:szCs w:val="24"/>
        </w:rPr>
        <w:t>1.自定义设置到检前提醒时间段；</w:t>
      </w:r>
    </w:p>
    <w:p w14:paraId="678096A2">
      <w:pPr>
        <w:spacing w:line="360" w:lineRule="auto"/>
        <w:ind w:firstLine="420" w:firstLineChars="0"/>
        <w:rPr>
          <w:rFonts w:cs="宋体"/>
          <w:bCs/>
          <w:kern w:val="2"/>
          <w:szCs w:val="24"/>
        </w:rPr>
      </w:pPr>
      <w:r>
        <w:rPr>
          <w:rFonts w:hint="eastAsia" w:cs="宋体"/>
          <w:bCs/>
          <w:kern w:val="2"/>
          <w:szCs w:val="24"/>
        </w:rPr>
        <w:t>2.在到期前，可选择计划检验时间，在计划检验时间过去后，可选择是否检验完成，若检验完成，由</w:t>
      </w:r>
      <w:bookmarkStart w:id="201" w:name="_Hlk198247592"/>
      <w:r>
        <w:rPr>
          <w:rFonts w:hint="eastAsia" w:cs="宋体"/>
          <w:bCs/>
          <w:kern w:val="2"/>
          <w:szCs w:val="24"/>
        </w:rPr>
        <w:t>系统自动将设备状态调整为已检验，报告未出具；后续报告出具后进行报告编号，报告文件上</w:t>
      </w:r>
      <w:bookmarkEnd w:id="201"/>
      <w:r>
        <w:rPr>
          <w:rFonts w:hint="eastAsia" w:cs="宋体"/>
          <w:bCs/>
          <w:kern w:val="2"/>
          <w:szCs w:val="24"/>
        </w:rPr>
        <w:t>传，下次检验时间，再由系统自动状态变更为处于监检有效期状态。若未检验完成，则设置下次计划检验时间，并填写相应缘由。</w:t>
      </w:r>
    </w:p>
    <w:p w14:paraId="4B1FA92E">
      <w:pPr>
        <w:spacing w:line="360" w:lineRule="auto"/>
        <w:ind w:firstLine="482"/>
        <w:rPr>
          <w:rFonts w:cs="宋体"/>
          <w:bCs/>
          <w:kern w:val="2"/>
          <w:szCs w:val="24"/>
        </w:rPr>
      </w:pPr>
      <w:r>
        <w:rPr>
          <w:rFonts w:hint="eastAsia" w:cs="宋体"/>
          <w:b/>
          <w:kern w:val="2"/>
          <w:szCs w:val="24"/>
        </w:rPr>
        <w:t>操作：</w:t>
      </w:r>
      <w:r>
        <w:rPr>
          <w:rFonts w:hint="eastAsia" w:cs="宋体"/>
          <w:bCs/>
          <w:kern w:val="2"/>
          <w:szCs w:val="24"/>
        </w:rPr>
        <w:t>1.设定提醒时间段；2.对已检验设备进行信息更新。</w:t>
      </w:r>
    </w:p>
    <w:p w14:paraId="18AA2BDF">
      <w:pPr>
        <w:spacing w:line="360" w:lineRule="auto"/>
        <w:ind w:firstLine="482"/>
        <w:rPr>
          <w:rFonts w:cs="宋体"/>
          <w:bCs/>
          <w:kern w:val="2"/>
          <w:szCs w:val="24"/>
        </w:rPr>
      </w:pPr>
      <w:r>
        <w:rPr>
          <w:rFonts w:hint="eastAsia" w:cs="宋体"/>
          <w:b/>
          <w:kern w:val="2"/>
          <w:szCs w:val="24"/>
        </w:rPr>
        <w:t>权限：</w:t>
      </w:r>
      <w:r>
        <w:rPr>
          <w:rFonts w:hint="eastAsia" w:cs="宋体"/>
          <w:bCs/>
          <w:kern w:val="2"/>
          <w:szCs w:val="24"/>
        </w:rPr>
        <w:t>1.设备部专员更新检验信息权限；2.所有人员查看权限。</w:t>
      </w:r>
    </w:p>
    <w:p w14:paraId="20A8E55E">
      <w:pPr>
        <w:spacing w:line="360" w:lineRule="auto"/>
        <w:ind w:firstLine="482"/>
        <w:outlineLvl w:val="3"/>
        <w:rPr>
          <w:b/>
          <w:bCs/>
          <w:szCs w:val="24"/>
        </w:rPr>
      </w:pPr>
      <w:bookmarkStart w:id="202" w:name="_Toc3359"/>
      <w:r>
        <w:rPr>
          <w:rFonts w:hint="eastAsia"/>
          <w:b/>
          <w:bCs/>
          <w:szCs w:val="24"/>
        </w:rPr>
        <w:t>3.8风险管理</w:t>
      </w:r>
      <w:bookmarkEnd w:id="202"/>
    </w:p>
    <w:p w14:paraId="04E9C87C">
      <w:pPr>
        <w:spacing w:line="360" w:lineRule="auto"/>
        <w:ind w:firstLine="480"/>
      </w:pPr>
      <w:r>
        <w:t>风险管理模块用于识别、评估和控制设备相关的风险</w:t>
      </w:r>
      <w:r>
        <w:rPr>
          <w:rFonts w:hint="eastAsia"/>
        </w:rPr>
        <w:t>，并进行动态风险管控。</w:t>
      </w:r>
      <w:r>
        <w:t>通过风险管理，提前识别潜在的风险，并采取预防措施</w:t>
      </w:r>
      <w:r>
        <w:rPr>
          <w:rFonts w:hint="eastAsia"/>
        </w:rPr>
        <w:t>，</w:t>
      </w:r>
      <w:r>
        <w:t>提高风险应对能力。</w:t>
      </w:r>
    </w:p>
    <w:p w14:paraId="17BCFFF6">
      <w:pPr>
        <w:pStyle w:val="6"/>
        <w:numPr>
          <w:ilvl w:val="4"/>
          <w:numId w:val="0"/>
        </w:numPr>
        <w:ind w:left="485" w:leftChars="202"/>
        <w:rPr>
          <w:rFonts w:asciiTheme="minorEastAsia" w:hAnsiTheme="minorEastAsia"/>
          <w:color w:val="auto"/>
        </w:rPr>
      </w:pPr>
      <w:bookmarkStart w:id="203" w:name="_Toc198017551"/>
      <w:r>
        <w:rPr>
          <w:rFonts w:hint="eastAsia" w:asciiTheme="minorEastAsia" w:hAnsiTheme="minorEastAsia"/>
          <w:color w:val="auto"/>
        </w:rPr>
        <w:t>3.8.1风险登记</w:t>
      </w:r>
      <w:bookmarkEnd w:id="203"/>
    </w:p>
    <w:p w14:paraId="48B43BB6">
      <w:pPr>
        <w:pStyle w:val="60"/>
        <w:spacing w:before="0" w:beforeLines="0" w:after="0" w:afterLines="0" w:line="360" w:lineRule="auto"/>
      </w:pPr>
      <w:r>
        <w:rPr>
          <w:rFonts w:hint="eastAsia"/>
        </w:rPr>
        <w:t>动态的风险管理有两个来源，设备变更风险、管控故障风险等，所有现场发现的异常状况都先走缺陷管理流程，再由管控缺陷列表进入风险管理中。</w:t>
      </w:r>
    </w:p>
    <w:p w14:paraId="45638990">
      <w:pPr>
        <w:pStyle w:val="6"/>
        <w:numPr>
          <w:ilvl w:val="4"/>
          <w:numId w:val="0"/>
        </w:numPr>
        <w:ind w:left="485" w:leftChars="202"/>
        <w:rPr>
          <w:rFonts w:asciiTheme="minorEastAsia" w:hAnsiTheme="minorEastAsia"/>
          <w:color w:val="auto"/>
        </w:rPr>
      </w:pPr>
      <w:bookmarkStart w:id="204" w:name="_Toc198017552"/>
      <w:r>
        <w:rPr>
          <w:rFonts w:hint="eastAsia" w:asciiTheme="minorEastAsia" w:hAnsiTheme="minorEastAsia"/>
          <w:color w:val="auto"/>
        </w:rPr>
        <w:t>3.8.2风险评估</w:t>
      </w:r>
      <w:bookmarkEnd w:id="204"/>
    </w:p>
    <w:p w14:paraId="16A127FD">
      <w:pPr>
        <w:pStyle w:val="60"/>
        <w:spacing w:before="0" w:beforeLines="0" w:after="0" w:afterLines="0" w:line="360" w:lineRule="auto"/>
        <w:rPr>
          <w:highlight w:val="cyan"/>
        </w:rPr>
      </w:pPr>
      <w:r>
        <w:rPr>
          <w:rFonts w:hint="eastAsia"/>
          <w:highlight w:val="cyan"/>
        </w:rPr>
        <w:t>投标方协助招标方组建</w:t>
      </w:r>
      <w:r>
        <w:rPr>
          <w:highlight w:val="cyan"/>
        </w:rPr>
        <w:t>风险评估小组</w:t>
      </w:r>
      <w:r>
        <w:rPr>
          <w:rFonts w:hint="eastAsia"/>
          <w:highlight w:val="cyan"/>
        </w:rPr>
        <w:t>，</w:t>
      </w:r>
      <w:r>
        <w:rPr>
          <w:highlight w:val="cyan"/>
        </w:rPr>
        <w:t>根据危害识别矩阵图对风险进行分级管理， 将风险分为重大风险</w:t>
      </w:r>
      <w:r>
        <w:rPr>
          <w:rFonts w:hint="eastAsia"/>
          <w:highlight w:val="cyan"/>
        </w:rPr>
        <w:t>、较大风险、一般风险</w:t>
      </w:r>
      <w:r>
        <w:rPr>
          <w:highlight w:val="cyan"/>
        </w:rPr>
        <w:t>和</w:t>
      </w:r>
      <w:r>
        <w:rPr>
          <w:rFonts w:hint="eastAsia"/>
          <w:highlight w:val="cyan"/>
        </w:rPr>
        <w:t>低</w:t>
      </w:r>
      <w:r>
        <w:rPr>
          <w:highlight w:val="cyan"/>
        </w:rPr>
        <w:t>风险</w:t>
      </w:r>
      <w:r>
        <w:rPr>
          <w:rFonts w:hint="eastAsia"/>
          <w:highlight w:val="cyan"/>
        </w:rPr>
        <w:t>，并根据不同的风险级别进行处置</w:t>
      </w:r>
      <w:r>
        <w:rPr>
          <w:highlight w:val="cyan"/>
        </w:rPr>
        <w:t>。</w:t>
      </w:r>
    </w:p>
    <w:p w14:paraId="3F87E41C">
      <w:pPr>
        <w:pStyle w:val="6"/>
        <w:numPr>
          <w:ilvl w:val="4"/>
          <w:numId w:val="0"/>
        </w:numPr>
        <w:ind w:left="485" w:leftChars="202"/>
        <w:rPr>
          <w:rFonts w:asciiTheme="minorEastAsia" w:hAnsiTheme="minorEastAsia"/>
          <w:color w:val="auto"/>
        </w:rPr>
      </w:pPr>
      <w:bookmarkStart w:id="205" w:name="_Toc198017553"/>
      <w:r>
        <w:rPr>
          <w:rFonts w:hint="eastAsia" w:asciiTheme="minorEastAsia" w:hAnsiTheme="minorEastAsia"/>
          <w:color w:val="auto"/>
        </w:rPr>
        <w:t>3.8.3风险处置</w:t>
      </w:r>
      <w:bookmarkEnd w:id="205"/>
    </w:p>
    <w:p w14:paraId="5B46DFC9">
      <w:pPr>
        <w:pStyle w:val="60"/>
        <w:spacing w:before="0" w:beforeLines="0" w:after="0" w:afterLines="0" w:line="360" w:lineRule="auto"/>
      </w:pPr>
      <w:r>
        <w:t>根据设备风险评价结果，针对不同级别的设备风险制定相应的防控措施。对进行风险管控措施后未消除的风险，列入</w:t>
      </w:r>
      <w:r>
        <w:rPr>
          <w:rFonts w:hint="eastAsia"/>
        </w:rPr>
        <w:t>停车检修计划，</w:t>
      </w:r>
      <w:r>
        <w:t>等待</w:t>
      </w:r>
      <w:r>
        <w:rPr>
          <w:rFonts w:hint="eastAsia"/>
        </w:rPr>
        <w:t>停车</w:t>
      </w:r>
      <w:r>
        <w:t>检修。</w:t>
      </w:r>
    </w:p>
    <w:p w14:paraId="49040526">
      <w:pPr>
        <w:pStyle w:val="6"/>
        <w:numPr>
          <w:ilvl w:val="4"/>
          <w:numId w:val="0"/>
        </w:numPr>
        <w:ind w:left="485" w:leftChars="202"/>
        <w:rPr>
          <w:rFonts w:asciiTheme="minorEastAsia" w:hAnsiTheme="minorEastAsia"/>
          <w:color w:val="auto"/>
        </w:rPr>
      </w:pPr>
      <w:bookmarkStart w:id="206" w:name="_Toc198017554"/>
      <w:r>
        <w:rPr>
          <w:rFonts w:hint="eastAsia" w:asciiTheme="minorEastAsia" w:hAnsiTheme="minorEastAsia"/>
          <w:color w:val="auto"/>
        </w:rPr>
        <w:t>3.8.4风险消除</w:t>
      </w:r>
      <w:bookmarkEnd w:id="206"/>
    </w:p>
    <w:p w14:paraId="18038B4B">
      <w:pPr>
        <w:pStyle w:val="60"/>
        <w:spacing w:before="0" w:beforeLines="0" w:after="0" w:afterLines="0" w:line="360" w:lineRule="auto"/>
      </w:pPr>
      <w:r>
        <w:rPr>
          <w:rFonts w:hint="eastAsia"/>
        </w:rPr>
        <w:t>风险</w:t>
      </w:r>
      <w:r>
        <w:t>消除后，</w:t>
      </w:r>
      <w:r>
        <w:rPr>
          <w:rFonts w:hint="eastAsia"/>
        </w:rPr>
        <w:t>可按流程将风险单关闭。</w:t>
      </w:r>
      <w:r>
        <w:t>对于重大风险，专家团队要对其进行</w:t>
      </w:r>
      <w:r>
        <w:rPr>
          <w:rFonts w:hint="eastAsia"/>
        </w:rPr>
        <w:t>处置</w:t>
      </w:r>
      <w:r>
        <w:t>后评价。</w:t>
      </w:r>
    </w:p>
    <w:p w14:paraId="61F3CFE2">
      <w:pPr>
        <w:spacing w:line="360" w:lineRule="auto"/>
        <w:ind w:firstLine="482"/>
        <w:outlineLvl w:val="3"/>
        <w:rPr>
          <w:b/>
          <w:bCs/>
          <w:szCs w:val="24"/>
        </w:rPr>
      </w:pPr>
      <w:bookmarkStart w:id="207" w:name="_Toc13929"/>
      <w:r>
        <w:rPr>
          <w:rFonts w:hint="eastAsia"/>
          <w:b/>
          <w:bCs/>
          <w:szCs w:val="24"/>
        </w:rPr>
        <w:t>3.9专项管理</w:t>
      </w:r>
      <w:bookmarkEnd w:id="207"/>
    </w:p>
    <w:p w14:paraId="60B38253">
      <w:pPr>
        <w:spacing w:line="360" w:lineRule="auto"/>
        <w:ind w:firstLine="480"/>
        <w:rPr>
          <w:rFonts w:hint="eastAsia"/>
          <w:b/>
          <w:bCs/>
          <w:highlight w:val="cyan"/>
        </w:rPr>
      </w:pPr>
      <w:r>
        <w:rPr>
          <w:rFonts w:hint="eastAsia"/>
          <w:b/>
          <w:bCs/>
          <w:highlight w:val="cyan"/>
        </w:rPr>
        <w:t>此处展示其他专项管理内容，包括但不限于下述模块，后续投标方应当提供相应低代码开发方式</w:t>
      </w:r>
      <w:bookmarkStart w:id="449" w:name="_GoBack"/>
      <w:bookmarkEnd w:id="449"/>
      <w:r>
        <w:rPr>
          <w:rFonts w:hint="eastAsia"/>
          <w:b/>
          <w:bCs/>
          <w:highlight w:val="cyan"/>
        </w:rPr>
        <w:t>，便于招标方后续的自行模块新增，修改等。</w:t>
      </w:r>
    </w:p>
    <w:p w14:paraId="46581CA7">
      <w:pPr>
        <w:pStyle w:val="6"/>
        <w:numPr>
          <w:ilvl w:val="4"/>
          <w:numId w:val="0"/>
        </w:numPr>
        <w:ind w:left="485" w:leftChars="202"/>
        <w:rPr>
          <w:rFonts w:asciiTheme="minorEastAsia" w:hAnsiTheme="minorEastAsia"/>
          <w:color w:val="auto"/>
        </w:rPr>
      </w:pPr>
      <w:r>
        <w:rPr>
          <w:rFonts w:hint="eastAsia" w:asciiTheme="minorEastAsia" w:hAnsiTheme="minorEastAsia"/>
          <w:color w:val="auto"/>
        </w:rPr>
        <w:t>3.9.1泄漏管理</w:t>
      </w:r>
    </w:p>
    <w:p w14:paraId="3BE9E673">
      <w:pPr>
        <w:spacing w:line="360" w:lineRule="auto"/>
        <w:ind w:firstLine="480"/>
      </w:pPr>
      <w:r>
        <w:rPr>
          <w:rFonts w:hint="eastAsia"/>
        </w:rPr>
        <w:t>通过预防性、周期性的巡检发现早期泄漏并及时处理，避免泄漏发展为事故，支持前述缺陷选择时分类选为泄漏时，自动归集，支持泄漏原因上报、泄漏事件评定、泄漏率统计、泄漏绩效考核等，实现从报告、处理及消除的全流程</w:t>
      </w:r>
      <w:r>
        <w:rPr>
          <w:rFonts w:hint="eastAsia" w:ascii="MS Gothic" w:hAnsi="MS Gothic" w:eastAsia="MS Gothic" w:cs="MS Gothic"/>
        </w:rPr>
        <w:t>‌</w:t>
      </w:r>
      <w:r>
        <w:rPr>
          <w:rFonts w:hint="eastAsia"/>
        </w:rPr>
        <w:t>控制；</w:t>
      </w:r>
    </w:p>
    <w:p w14:paraId="6C1261BD">
      <w:pPr>
        <w:pStyle w:val="6"/>
        <w:numPr>
          <w:ilvl w:val="4"/>
          <w:numId w:val="0"/>
        </w:numPr>
        <w:ind w:left="485" w:leftChars="202"/>
        <w:rPr>
          <w:rFonts w:hint="eastAsia" w:asciiTheme="minorEastAsia" w:hAnsiTheme="minorEastAsia"/>
          <w:color w:val="auto"/>
        </w:rPr>
      </w:pPr>
      <w:r>
        <w:rPr>
          <w:rFonts w:hint="eastAsia" w:asciiTheme="minorEastAsia" w:hAnsiTheme="minorEastAsia"/>
          <w:color w:val="auto"/>
        </w:rPr>
        <w:t>3.9.2润滑管理</w:t>
      </w:r>
    </w:p>
    <w:p w14:paraId="16B8D362">
      <w:pPr>
        <w:spacing w:line="360" w:lineRule="auto"/>
        <w:ind w:firstLine="480"/>
      </w:pPr>
      <w:r>
        <w:rPr>
          <w:rFonts w:hint="eastAsia"/>
        </w:rPr>
        <w:t>支持规范润滑油品的计划、采购、保管、现场使用、回收等全过程管理。</w:t>
      </w:r>
    </w:p>
    <w:p w14:paraId="03676335">
      <w:pPr>
        <w:spacing w:line="360" w:lineRule="auto"/>
        <w:ind w:firstLine="480"/>
        <w:rPr>
          <w:rFonts w:cs="宋体"/>
          <w:bCs/>
          <w:kern w:val="2"/>
          <w:szCs w:val="24"/>
        </w:rPr>
      </w:pPr>
      <w:r>
        <w:rPr>
          <w:rFonts w:hint="eastAsia" w:cs="宋体"/>
          <w:bCs/>
          <w:kern w:val="2"/>
          <w:szCs w:val="24"/>
        </w:rPr>
        <w:t>展示设备润滑台账：包括每个设备的润滑点、润滑油种类、润滑周期、润滑记录等信息。设定相应润滑计划，同时对维护或巡检中发现需要进行更换油的问题自动关联记录至设备润滑台账内。</w:t>
      </w:r>
    </w:p>
    <w:p w14:paraId="3302FC56">
      <w:pPr>
        <w:pStyle w:val="6"/>
        <w:numPr>
          <w:ilvl w:val="4"/>
          <w:numId w:val="0"/>
        </w:numPr>
        <w:ind w:left="485" w:leftChars="202"/>
        <w:rPr>
          <w:rFonts w:asciiTheme="minorEastAsia" w:hAnsiTheme="minorEastAsia"/>
          <w:color w:val="auto"/>
        </w:rPr>
      </w:pPr>
      <w:r>
        <w:rPr>
          <w:rFonts w:hint="eastAsia" w:asciiTheme="minorEastAsia" w:hAnsiTheme="minorEastAsia"/>
          <w:color w:val="auto"/>
        </w:rPr>
        <w:t>3.9.3腐蚀管理</w:t>
      </w:r>
    </w:p>
    <w:p w14:paraId="24FEDB2F">
      <w:pPr>
        <w:spacing w:line="360" w:lineRule="auto"/>
        <w:ind w:firstLine="480"/>
      </w:pPr>
      <w:r>
        <w:rPr>
          <w:rFonts w:hint="eastAsia"/>
        </w:rPr>
        <w:t>支持对接第三方系统或者人工录入等方式获取易腐蚀点位数据，通过腐蚀点位新增、趋势图、预警告警等功能实现腐蚀点位管理。</w:t>
      </w:r>
    </w:p>
    <w:p w14:paraId="7B99EF80">
      <w:pPr>
        <w:spacing w:line="360" w:lineRule="auto"/>
        <w:ind w:firstLine="480"/>
        <w:rPr>
          <w:rFonts w:cs="宋体"/>
          <w:bCs/>
          <w:kern w:val="2"/>
          <w:szCs w:val="24"/>
        </w:rPr>
      </w:pPr>
      <w:r>
        <w:rPr>
          <w:rFonts w:hint="eastAsia"/>
        </w:rPr>
        <w:t>同时</w:t>
      </w:r>
      <w:r>
        <w:rPr>
          <w:rFonts w:hint="eastAsia" w:cs="宋体"/>
          <w:bCs/>
          <w:kern w:val="2"/>
          <w:szCs w:val="24"/>
        </w:rPr>
        <w:t>根据公司相关测厚管理规定，于此处进行各车间容器及测厚信息填写，时间设置等。到达设定时间后由系统进行推送，合并至定期维护计划内。</w:t>
      </w:r>
    </w:p>
    <w:p w14:paraId="7A23E9F8">
      <w:pPr>
        <w:pStyle w:val="6"/>
        <w:numPr>
          <w:ilvl w:val="4"/>
          <w:numId w:val="0"/>
        </w:numPr>
        <w:ind w:left="485" w:leftChars="202"/>
        <w:rPr>
          <w:rFonts w:asciiTheme="minorEastAsia" w:hAnsiTheme="minorEastAsia"/>
          <w:color w:val="auto"/>
        </w:rPr>
      </w:pPr>
      <w:r>
        <w:rPr>
          <w:rFonts w:hint="eastAsia" w:asciiTheme="minorEastAsia" w:hAnsiTheme="minorEastAsia"/>
          <w:color w:val="auto"/>
        </w:rPr>
        <w:t>3.9.4能效管理</w:t>
      </w:r>
    </w:p>
    <w:p w14:paraId="6C1B71BE">
      <w:pPr>
        <w:spacing w:line="360" w:lineRule="auto"/>
        <w:ind w:firstLine="480"/>
        <w:rPr>
          <w:rFonts w:hint="eastAsia"/>
        </w:rPr>
      </w:pPr>
      <w:r>
        <w:rPr>
          <w:rFonts w:hint="eastAsia"/>
        </w:rPr>
        <w:t>此处应可引用相应系统的数据（DCS或MES）或手动录入等汇总展示各机泵的运行能效，根据机泵效率曲线，显示相应能效偏差值，实施能效监测与评价，提供相应优化建议。</w:t>
      </w:r>
    </w:p>
    <w:p w14:paraId="5361BB8A">
      <w:pPr>
        <w:spacing w:line="360" w:lineRule="auto"/>
        <w:ind w:firstLine="482"/>
        <w:jc w:val="left"/>
        <w:outlineLvl w:val="2"/>
        <w:rPr>
          <w:szCs w:val="24"/>
        </w:rPr>
      </w:pPr>
      <w:bookmarkStart w:id="208" w:name="_Toc15896"/>
      <w:r>
        <w:rPr>
          <w:rFonts w:hint="eastAsia" w:cs="宋体"/>
          <w:b/>
          <w:kern w:val="2"/>
          <w:szCs w:val="24"/>
        </w:rPr>
        <w:t>4.设备处置</w:t>
      </w:r>
      <w:bookmarkEnd w:id="208"/>
    </w:p>
    <w:p w14:paraId="67647971">
      <w:pPr>
        <w:spacing w:line="360" w:lineRule="auto"/>
        <w:ind w:firstLine="482"/>
        <w:outlineLvl w:val="3"/>
        <w:rPr>
          <w:b/>
          <w:bCs/>
          <w:szCs w:val="24"/>
        </w:rPr>
      </w:pPr>
      <w:bookmarkStart w:id="209" w:name="_Toc179921461"/>
      <w:bookmarkStart w:id="210" w:name="_Toc6168"/>
      <w:r>
        <w:rPr>
          <w:b/>
          <w:bCs/>
          <w:szCs w:val="24"/>
        </w:rPr>
        <w:t>4.1设备状态变更</w:t>
      </w:r>
      <w:bookmarkEnd w:id="209"/>
      <w:bookmarkEnd w:id="210"/>
    </w:p>
    <w:p w14:paraId="1493DBDD">
      <w:pPr>
        <w:spacing w:line="360" w:lineRule="auto"/>
        <w:ind w:firstLine="480"/>
        <w:rPr>
          <w:rFonts w:cs="宋体"/>
          <w:bCs/>
          <w:kern w:val="2"/>
          <w:szCs w:val="24"/>
        </w:rPr>
      </w:pPr>
      <w:r>
        <w:rPr>
          <w:rFonts w:cs="宋体"/>
          <w:bCs/>
          <w:kern w:val="2"/>
          <w:szCs w:val="24"/>
        </w:rPr>
        <w:t>在此处</w:t>
      </w:r>
      <w:r>
        <w:rPr>
          <w:rFonts w:hint="eastAsia" w:cs="宋体"/>
          <w:bCs/>
          <w:kern w:val="2"/>
          <w:szCs w:val="24"/>
        </w:rPr>
        <w:t>发起相应设备台账中设备的变更，</w:t>
      </w:r>
      <w:r>
        <w:rPr>
          <w:rFonts w:hint="eastAsia"/>
        </w:rPr>
        <w:t>包括变更申请（</w:t>
      </w:r>
      <w:r>
        <w:rPr>
          <w:rFonts w:hint="eastAsia" w:cs="宋体"/>
          <w:bCs/>
          <w:kern w:val="2"/>
          <w:szCs w:val="24"/>
        </w:rPr>
        <w:t>设备停用、设备启用、设备拆除、设备报废</w:t>
      </w:r>
      <w:r>
        <w:rPr>
          <w:rFonts w:hint="eastAsia"/>
        </w:rPr>
        <w:t>）、审批、实施和验证等。确保所有变更都经过适当的审批流程，并记录变更的详细信息，降低变更带来的风险。</w:t>
      </w:r>
      <w:r>
        <w:rPr>
          <w:rFonts w:hint="eastAsia" w:cs="宋体"/>
          <w:bCs/>
          <w:kern w:val="2"/>
          <w:szCs w:val="24"/>
        </w:rPr>
        <w:t>设备管理系统中填写完成后，相应信息自动推送至OA系统进行审批，审批完成后</w:t>
      </w:r>
      <w:r>
        <w:rPr>
          <w:rFonts w:cs="宋体"/>
          <w:bCs/>
          <w:kern w:val="2"/>
          <w:szCs w:val="24"/>
        </w:rPr>
        <w:t>，</w:t>
      </w:r>
      <w:r>
        <w:rPr>
          <w:rFonts w:hint="eastAsia" w:cs="宋体"/>
          <w:bCs/>
          <w:kern w:val="2"/>
          <w:szCs w:val="24"/>
        </w:rPr>
        <w:t>系统自动</w:t>
      </w:r>
      <w:r>
        <w:rPr>
          <w:rFonts w:cs="宋体"/>
          <w:bCs/>
          <w:kern w:val="2"/>
          <w:szCs w:val="24"/>
        </w:rPr>
        <w:t>对相应台账</w:t>
      </w:r>
      <w:r>
        <w:rPr>
          <w:rFonts w:hint="eastAsia" w:cs="宋体"/>
          <w:bCs/>
          <w:kern w:val="2"/>
          <w:szCs w:val="24"/>
        </w:rPr>
        <w:t>中的设备状态</w:t>
      </w:r>
      <w:r>
        <w:rPr>
          <w:rFonts w:cs="宋体"/>
          <w:bCs/>
          <w:kern w:val="2"/>
          <w:szCs w:val="24"/>
        </w:rPr>
        <w:t>信息</w:t>
      </w:r>
      <w:r>
        <w:rPr>
          <w:rFonts w:hint="eastAsia" w:cs="宋体"/>
          <w:bCs/>
          <w:kern w:val="2"/>
          <w:szCs w:val="24"/>
        </w:rPr>
        <w:t>进行</w:t>
      </w:r>
      <w:r>
        <w:rPr>
          <w:rFonts w:cs="宋体"/>
          <w:bCs/>
          <w:kern w:val="2"/>
          <w:szCs w:val="24"/>
        </w:rPr>
        <w:t>更改。</w:t>
      </w:r>
    </w:p>
    <w:p w14:paraId="076671C6">
      <w:pPr>
        <w:spacing w:line="360" w:lineRule="auto"/>
        <w:ind w:firstLine="482"/>
        <w:rPr>
          <w:rFonts w:cs="宋体"/>
          <w:b/>
          <w:kern w:val="2"/>
          <w:szCs w:val="24"/>
        </w:rPr>
      </w:pPr>
      <w:r>
        <w:rPr>
          <w:rFonts w:cs="宋体"/>
          <w:b/>
          <w:kern w:val="2"/>
          <w:szCs w:val="24"/>
        </w:rPr>
        <w:t>要求：</w:t>
      </w:r>
    </w:p>
    <w:p w14:paraId="00276D29">
      <w:pPr>
        <w:pStyle w:val="43"/>
        <w:numPr>
          <w:ilvl w:val="0"/>
          <w:numId w:val="7"/>
        </w:numPr>
        <w:spacing w:line="360" w:lineRule="auto"/>
        <w:ind w:firstLineChars="0"/>
        <w:rPr>
          <w:rFonts w:cs="宋体"/>
          <w:bCs/>
          <w:kern w:val="2"/>
          <w:szCs w:val="24"/>
        </w:rPr>
      </w:pPr>
      <w:r>
        <w:rPr>
          <w:rFonts w:cs="宋体"/>
          <w:bCs/>
          <w:kern w:val="2"/>
          <w:szCs w:val="24"/>
        </w:rPr>
        <w:t>OA上相应变更审批完后，系统应当自动读取，并将设备台账信息中的设备使用状态进行变更。</w:t>
      </w:r>
    </w:p>
    <w:p w14:paraId="61423CC3">
      <w:pPr>
        <w:pStyle w:val="43"/>
        <w:numPr>
          <w:ilvl w:val="0"/>
          <w:numId w:val="7"/>
        </w:numPr>
        <w:spacing w:line="360" w:lineRule="auto"/>
        <w:ind w:firstLineChars="0"/>
        <w:rPr>
          <w:rFonts w:hint="eastAsia" w:cs="宋体"/>
          <w:bCs/>
          <w:kern w:val="2"/>
          <w:szCs w:val="24"/>
        </w:rPr>
      </w:pPr>
      <w:r>
        <w:rPr>
          <w:rFonts w:hint="eastAsia" w:cs="宋体"/>
          <w:bCs/>
          <w:kern w:val="2"/>
          <w:szCs w:val="24"/>
        </w:rPr>
        <w:t>同时相应的文件资料（变更信息单、验证支撑数据等）应当自动归档到设备管理系统中设备台账中对应设备的信息档案中。</w:t>
      </w:r>
    </w:p>
    <w:p w14:paraId="0393622A">
      <w:pPr>
        <w:spacing w:line="360" w:lineRule="auto"/>
        <w:ind w:firstLine="482"/>
        <w:rPr>
          <w:rFonts w:cs="宋体"/>
          <w:bCs/>
          <w:kern w:val="2"/>
          <w:szCs w:val="24"/>
        </w:rPr>
      </w:pPr>
      <w:r>
        <w:rPr>
          <w:rFonts w:hint="eastAsia" w:cs="宋体"/>
          <w:b/>
          <w:kern w:val="2"/>
          <w:szCs w:val="24"/>
        </w:rPr>
        <w:t>操作：</w:t>
      </w:r>
      <w:r>
        <w:rPr>
          <w:rFonts w:hint="eastAsia" w:cs="宋体"/>
          <w:bCs/>
          <w:kern w:val="2"/>
          <w:szCs w:val="24"/>
        </w:rPr>
        <w:t>1.各专业技术员发起设备状态变更需求。</w:t>
      </w:r>
    </w:p>
    <w:p w14:paraId="48299570">
      <w:pPr>
        <w:spacing w:line="360" w:lineRule="auto"/>
        <w:ind w:firstLine="482"/>
        <w:rPr>
          <w:rFonts w:cs="宋体"/>
          <w:bCs/>
          <w:kern w:val="2"/>
          <w:szCs w:val="24"/>
        </w:rPr>
      </w:pPr>
      <w:r>
        <w:rPr>
          <w:rFonts w:hint="eastAsia" w:cs="宋体"/>
          <w:b/>
          <w:kern w:val="2"/>
          <w:szCs w:val="24"/>
        </w:rPr>
        <w:t>权限：</w:t>
      </w:r>
      <w:r>
        <w:rPr>
          <w:rFonts w:hint="eastAsia" w:cs="宋体"/>
          <w:bCs/>
          <w:kern w:val="2"/>
          <w:szCs w:val="24"/>
        </w:rPr>
        <w:t>1.各专业技术员设备状态变更发起权限。</w:t>
      </w:r>
    </w:p>
    <w:p w14:paraId="7E56CA07">
      <w:pPr>
        <w:spacing w:line="360" w:lineRule="auto"/>
        <w:ind w:firstLine="482"/>
        <w:outlineLvl w:val="3"/>
        <w:rPr>
          <w:b/>
          <w:bCs/>
          <w:szCs w:val="24"/>
        </w:rPr>
      </w:pPr>
      <w:bookmarkStart w:id="211" w:name="_Toc989"/>
      <w:bookmarkStart w:id="212" w:name="_Toc179921463"/>
      <w:r>
        <w:rPr>
          <w:b/>
          <w:bCs/>
          <w:szCs w:val="24"/>
        </w:rPr>
        <w:t>4.</w:t>
      </w:r>
      <w:r>
        <w:rPr>
          <w:rFonts w:hint="eastAsia"/>
          <w:b/>
          <w:bCs/>
          <w:szCs w:val="24"/>
        </w:rPr>
        <w:t>2</w:t>
      </w:r>
      <w:r>
        <w:rPr>
          <w:b/>
          <w:bCs/>
          <w:szCs w:val="24"/>
        </w:rPr>
        <w:t>设备更新</w:t>
      </w:r>
      <w:bookmarkEnd w:id="211"/>
      <w:bookmarkEnd w:id="212"/>
    </w:p>
    <w:p w14:paraId="62916E85">
      <w:pPr>
        <w:spacing w:line="360" w:lineRule="auto"/>
        <w:ind w:firstLine="480"/>
        <w:rPr>
          <w:rFonts w:cs="宋体"/>
          <w:bCs/>
          <w:kern w:val="2"/>
          <w:szCs w:val="24"/>
        </w:rPr>
      </w:pPr>
      <w:r>
        <w:rPr>
          <w:rFonts w:cs="宋体"/>
          <w:bCs/>
          <w:kern w:val="2"/>
          <w:szCs w:val="24"/>
        </w:rPr>
        <w:tab/>
      </w:r>
      <w:r>
        <w:rPr>
          <w:rFonts w:hint="eastAsia" w:cs="宋体"/>
          <w:bCs/>
          <w:kern w:val="2"/>
          <w:szCs w:val="24"/>
        </w:rPr>
        <w:t>在此处显示设备更新台账及发起相应设备更新需求，同时关联原旧设备使用状态，并选择旧设备后续状态为停用，拆除，报废等（若此时设备状态与选择的后续状态不一致，需要同时发起相应设备变更需求），填写设备更新所需信息，并推送至OA或云平台进行立项审批，设备更新审批完后，</w:t>
      </w:r>
      <w:r>
        <w:rPr>
          <w:rFonts w:cs="宋体"/>
          <w:bCs/>
          <w:kern w:val="2"/>
          <w:szCs w:val="24"/>
        </w:rPr>
        <w:t>汇总</w:t>
      </w:r>
      <w:r>
        <w:rPr>
          <w:rFonts w:hint="eastAsia" w:cs="宋体"/>
          <w:bCs/>
          <w:kern w:val="2"/>
          <w:szCs w:val="24"/>
        </w:rPr>
        <w:t>形成当年度设备更新台账</w:t>
      </w:r>
      <w:r>
        <w:rPr>
          <w:rFonts w:cs="宋体"/>
          <w:bCs/>
          <w:kern w:val="2"/>
          <w:szCs w:val="24"/>
        </w:rPr>
        <w:t>。</w:t>
      </w:r>
      <w:r>
        <w:rPr>
          <w:rFonts w:hint="eastAsia" w:cs="宋体"/>
          <w:bCs/>
          <w:kern w:val="2"/>
          <w:szCs w:val="24"/>
        </w:rPr>
        <w:t>对应每项设备更新</w:t>
      </w:r>
      <w:r>
        <w:rPr>
          <w:rFonts w:cs="宋体"/>
          <w:bCs/>
          <w:kern w:val="2"/>
          <w:szCs w:val="24"/>
        </w:rPr>
        <w:t>由相应技术员发起相应采购流程，</w:t>
      </w:r>
      <w:r>
        <w:rPr>
          <w:rFonts w:hint="eastAsia" w:cs="宋体"/>
          <w:bCs/>
          <w:kern w:val="2"/>
          <w:szCs w:val="24"/>
        </w:rPr>
        <w:t>进行到货验收，安装调试等，系统</w:t>
      </w:r>
      <w:r>
        <w:rPr>
          <w:rFonts w:cs="宋体"/>
          <w:bCs/>
          <w:kern w:val="2"/>
          <w:szCs w:val="24"/>
        </w:rPr>
        <w:t>更新相应进度，安装完成后，系统应当根据设定时间发起相应验收流程。</w:t>
      </w:r>
    </w:p>
    <w:p w14:paraId="0049C773">
      <w:pPr>
        <w:spacing w:line="360" w:lineRule="auto"/>
        <w:ind w:firstLine="482"/>
        <w:rPr>
          <w:rFonts w:cs="宋体"/>
          <w:b/>
          <w:kern w:val="2"/>
          <w:szCs w:val="24"/>
        </w:rPr>
      </w:pPr>
      <w:r>
        <w:rPr>
          <w:rFonts w:cs="宋体"/>
          <w:b/>
          <w:kern w:val="2"/>
          <w:szCs w:val="24"/>
        </w:rPr>
        <w:t>要求：</w:t>
      </w:r>
    </w:p>
    <w:p w14:paraId="2975462B">
      <w:pPr>
        <w:spacing w:line="360" w:lineRule="auto"/>
        <w:ind w:firstLine="480"/>
        <w:rPr>
          <w:rFonts w:cs="宋体"/>
          <w:bCs/>
          <w:kern w:val="2"/>
          <w:szCs w:val="24"/>
        </w:rPr>
      </w:pPr>
      <w:r>
        <w:rPr>
          <w:rFonts w:cs="宋体"/>
          <w:bCs/>
          <w:kern w:val="2"/>
          <w:szCs w:val="24"/>
        </w:rPr>
        <w:t>1.每月固定时间节点提示各涉及人员进行设备更新进度提报，如若是前期阶段，系统应当自动进行更新，不发送至各涉及人员，如采购阶段，</w:t>
      </w:r>
      <w:r>
        <w:rPr>
          <w:rFonts w:hint="eastAsia" w:cs="宋体"/>
          <w:bCs/>
          <w:kern w:val="2"/>
          <w:szCs w:val="24"/>
        </w:rPr>
        <w:t>到货</w:t>
      </w:r>
      <w:r>
        <w:rPr>
          <w:rFonts w:cs="宋体"/>
          <w:bCs/>
          <w:kern w:val="2"/>
          <w:szCs w:val="24"/>
        </w:rPr>
        <w:t>验收阶段等，至后续安装阶段由涉及人员进行填报；</w:t>
      </w:r>
    </w:p>
    <w:p w14:paraId="1311ACBA">
      <w:pPr>
        <w:spacing w:line="360" w:lineRule="auto"/>
        <w:ind w:firstLine="480"/>
        <w:rPr>
          <w:rFonts w:cs="宋体"/>
          <w:bCs/>
          <w:kern w:val="2"/>
          <w:szCs w:val="24"/>
        </w:rPr>
      </w:pPr>
      <w:r>
        <w:rPr>
          <w:rFonts w:cs="宋体"/>
          <w:bCs/>
          <w:kern w:val="2"/>
          <w:szCs w:val="24"/>
        </w:rPr>
        <w:t>2.设备更新于此处填写完成，在相应采购模块，应当直接引用此处数据进行采购，并实时关联数据；</w:t>
      </w:r>
    </w:p>
    <w:p w14:paraId="281C19EA">
      <w:pPr>
        <w:spacing w:line="360" w:lineRule="auto"/>
        <w:ind w:firstLine="480"/>
        <w:rPr>
          <w:rFonts w:cs="宋体"/>
          <w:bCs/>
          <w:kern w:val="2"/>
          <w:szCs w:val="24"/>
        </w:rPr>
      </w:pPr>
      <w:r>
        <w:rPr>
          <w:rFonts w:hint="eastAsia" w:cs="宋体"/>
          <w:bCs/>
          <w:kern w:val="2"/>
          <w:szCs w:val="24"/>
        </w:rPr>
        <w:t>3</w:t>
      </w:r>
      <w:r>
        <w:rPr>
          <w:rFonts w:cs="宋体"/>
          <w:bCs/>
          <w:kern w:val="2"/>
          <w:szCs w:val="24"/>
        </w:rPr>
        <w:t>.每项设备更新结束后，系统应当生产相应报表，展示该项设备更新实施情况（如采购间隔，入库时间，安装间隔，验收情况等）。</w:t>
      </w:r>
    </w:p>
    <w:p w14:paraId="591ADE47">
      <w:pPr>
        <w:spacing w:line="360" w:lineRule="auto"/>
        <w:ind w:firstLine="482"/>
        <w:rPr>
          <w:rFonts w:cs="宋体"/>
          <w:bCs/>
          <w:kern w:val="2"/>
          <w:szCs w:val="24"/>
        </w:rPr>
      </w:pPr>
      <w:r>
        <w:rPr>
          <w:rFonts w:cs="宋体"/>
          <w:b/>
          <w:kern w:val="2"/>
          <w:szCs w:val="24"/>
        </w:rPr>
        <w:t>操作：</w:t>
      </w:r>
      <w:r>
        <w:rPr>
          <w:rFonts w:cs="宋体"/>
          <w:bCs/>
          <w:kern w:val="2"/>
          <w:szCs w:val="24"/>
        </w:rPr>
        <w:t>1.各专业人员引用数据发起采购；2.各专业人员更新相应进度。</w:t>
      </w:r>
    </w:p>
    <w:p w14:paraId="76CE3370">
      <w:pPr>
        <w:spacing w:line="360" w:lineRule="auto"/>
        <w:ind w:firstLine="482"/>
        <w:rPr>
          <w:rFonts w:cs="宋体"/>
          <w:bCs/>
          <w:kern w:val="2"/>
          <w:szCs w:val="24"/>
        </w:rPr>
      </w:pPr>
      <w:r>
        <w:rPr>
          <w:rFonts w:cs="宋体"/>
          <w:b/>
          <w:kern w:val="2"/>
          <w:szCs w:val="24"/>
        </w:rPr>
        <w:t>权限：</w:t>
      </w:r>
      <w:r>
        <w:rPr>
          <w:rFonts w:cs="宋体"/>
          <w:bCs/>
          <w:kern w:val="2"/>
          <w:szCs w:val="24"/>
        </w:rPr>
        <w:t>1.各专业人员填报及数据引用采购权限；2.设备部专员审核权限。</w:t>
      </w:r>
    </w:p>
    <w:p w14:paraId="5F98543C">
      <w:pPr>
        <w:spacing w:line="360" w:lineRule="auto"/>
        <w:ind w:firstLine="482"/>
        <w:jc w:val="left"/>
        <w:outlineLvl w:val="2"/>
        <w:rPr>
          <w:szCs w:val="24"/>
        </w:rPr>
      </w:pPr>
      <w:bookmarkStart w:id="213" w:name="_Toc11375"/>
      <w:r>
        <w:rPr>
          <w:rFonts w:hint="eastAsia" w:cs="宋体"/>
          <w:b/>
          <w:kern w:val="2"/>
          <w:szCs w:val="24"/>
        </w:rPr>
        <w:t>5.报表管理</w:t>
      </w:r>
      <w:bookmarkEnd w:id="213"/>
    </w:p>
    <w:p w14:paraId="71E46812">
      <w:pPr>
        <w:spacing w:line="360" w:lineRule="auto"/>
        <w:ind w:firstLine="480"/>
        <w:rPr>
          <w:szCs w:val="24"/>
        </w:rPr>
      </w:pPr>
      <w:r>
        <w:rPr>
          <w:rFonts w:hint="eastAsia"/>
          <w:szCs w:val="24"/>
        </w:rPr>
        <w:t>系统内置强大报表工具，可自定义生成报表，可以根据原基础数据自动生成报表，统计设备管理数据，给管理者提供充分的分析决策依据。报表支持定制开发；</w:t>
      </w:r>
    </w:p>
    <w:p w14:paraId="6279786B">
      <w:pPr>
        <w:spacing w:line="360" w:lineRule="auto"/>
        <w:ind w:firstLine="482"/>
        <w:outlineLvl w:val="3"/>
        <w:rPr>
          <w:b/>
          <w:bCs/>
          <w:szCs w:val="24"/>
        </w:rPr>
      </w:pPr>
      <w:bookmarkStart w:id="214" w:name="_Toc9091"/>
      <w:r>
        <w:rPr>
          <w:rFonts w:hint="eastAsia"/>
          <w:b/>
          <w:bCs/>
          <w:szCs w:val="24"/>
        </w:rPr>
        <w:t>5.1报表</w:t>
      </w:r>
      <w:r>
        <w:rPr>
          <w:rFonts w:hint="eastAsia" w:cs="宋体"/>
          <w:b/>
          <w:bCs/>
          <w:szCs w:val="24"/>
        </w:rPr>
        <w:t>管理</w:t>
      </w:r>
      <w:r>
        <w:rPr>
          <w:rFonts w:hint="eastAsia"/>
          <w:b/>
          <w:bCs/>
          <w:szCs w:val="24"/>
        </w:rPr>
        <w:t>工具</w:t>
      </w:r>
      <w:bookmarkEnd w:id="214"/>
    </w:p>
    <w:p w14:paraId="690D80B4">
      <w:pPr>
        <w:spacing w:line="360" w:lineRule="auto"/>
        <w:ind w:firstLine="482"/>
        <w:rPr>
          <w:szCs w:val="24"/>
        </w:rPr>
      </w:pPr>
      <w:r>
        <w:rPr>
          <w:rFonts w:hint="eastAsia"/>
          <w:b/>
          <w:bCs/>
          <w:szCs w:val="24"/>
        </w:rPr>
        <w:t>5.1.1工具描述</w:t>
      </w:r>
    </w:p>
    <w:p w14:paraId="460F5F71">
      <w:pPr>
        <w:spacing w:line="360" w:lineRule="auto"/>
        <w:ind w:firstLine="480"/>
        <w:rPr>
          <w:szCs w:val="24"/>
        </w:rPr>
      </w:pPr>
      <w:r>
        <w:rPr>
          <w:rFonts w:hint="eastAsia"/>
          <w:szCs w:val="24"/>
        </w:rPr>
        <w:t>设备管理系统内置强大的的报表工具，可自定义生成报表，统计设备管理数据，给管理者提供充分的分析决策依据。</w:t>
      </w:r>
    </w:p>
    <w:p w14:paraId="56CD5B06">
      <w:pPr>
        <w:numPr>
          <w:ilvl w:val="0"/>
          <w:numId w:val="8"/>
        </w:numPr>
        <w:tabs>
          <w:tab w:val="left" w:pos="420"/>
          <w:tab w:val="clear" w:pos="0"/>
        </w:tabs>
        <w:spacing w:line="360" w:lineRule="auto"/>
        <w:ind w:firstLine="480"/>
        <w:rPr>
          <w:szCs w:val="24"/>
        </w:rPr>
      </w:pPr>
      <w:r>
        <w:rPr>
          <w:rFonts w:hint="eastAsia"/>
          <w:szCs w:val="24"/>
        </w:rPr>
        <w:t>简洁美观的界面,简单友好的交互模式。</w:t>
      </w:r>
    </w:p>
    <w:p w14:paraId="1F29E161">
      <w:pPr>
        <w:numPr>
          <w:ilvl w:val="0"/>
          <w:numId w:val="8"/>
        </w:numPr>
        <w:tabs>
          <w:tab w:val="left" w:pos="420"/>
          <w:tab w:val="clear" w:pos="0"/>
        </w:tabs>
        <w:spacing w:line="360" w:lineRule="auto"/>
        <w:ind w:firstLine="480"/>
        <w:rPr>
          <w:szCs w:val="24"/>
        </w:rPr>
      </w:pPr>
      <w:r>
        <w:rPr>
          <w:rFonts w:hint="eastAsia"/>
          <w:szCs w:val="24"/>
        </w:rPr>
        <w:t>交互式自服务拖拽多维分析用户体验,数据切块,切片,排序无所不能。</w:t>
      </w:r>
    </w:p>
    <w:p w14:paraId="24B804CE">
      <w:pPr>
        <w:numPr>
          <w:ilvl w:val="0"/>
          <w:numId w:val="8"/>
        </w:numPr>
        <w:tabs>
          <w:tab w:val="left" w:pos="420"/>
          <w:tab w:val="clear" w:pos="0"/>
        </w:tabs>
        <w:spacing w:line="360" w:lineRule="auto"/>
        <w:ind w:firstLine="480"/>
        <w:rPr>
          <w:szCs w:val="24"/>
        </w:rPr>
      </w:pPr>
      <w:r>
        <w:rPr>
          <w:rFonts w:hint="eastAsia"/>
          <w:szCs w:val="24"/>
        </w:rPr>
        <w:t>一个数据集根据拖拽衍生无数不同粒度数据聚合+20余种不同展现形式的图表。</w:t>
      </w:r>
    </w:p>
    <w:p w14:paraId="429D2003">
      <w:pPr>
        <w:numPr>
          <w:ilvl w:val="0"/>
          <w:numId w:val="8"/>
        </w:numPr>
        <w:tabs>
          <w:tab w:val="left" w:pos="420"/>
          <w:tab w:val="clear" w:pos="0"/>
        </w:tabs>
        <w:spacing w:line="360" w:lineRule="auto"/>
        <w:ind w:firstLine="480"/>
        <w:rPr>
          <w:szCs w:val="24"/>
        </w:rPr>
      </w:pPr>
      <w:r>
        <w:rPr>
          <w:rFonts w:hint="eastAsia"/>
          <w:szCs w:val="24"/>
        </w:rPr>
        <w:t>图表数据准实时刷新。</w:t>
      </w:r>
    </w:p>
    <w:p w14:paraId="20E1F061">
      <w:pPr>
        <w:numPr>
          <w:ilvl w:val="0"/>
          <w:numId w:val="8"/>
        </w:numPr>
        <w:tabs>
          <w:tab w:val="left" w:pos="420"/>
          <w:tab w:val="clear" w:pos="0"/>
        </w:tabs>
        <w:spacing w:line="360" w:lineRule="auto"/>
        <w:ind w:firstLine="480"/>
        <w:rPr>
          <w:szCs w:val="24"/>
        </w:rPr>
      </w:pPr>
      <w:r>
        <w:rPr>
          <w:rFonts w:hint="eastAsia"/>
          <w:szCs w:val="24"/>
        </w:rPr>
        <w:t>图表级别权限控制。</w:t>
      </w:r>
    </w:p>
    <w:p w14:paraId="16CF7230">
      <w:pPr>
        <w:numPr>
          <w:ilvl w:val="0"/>
          <w:numId w:val="8"/>
        </w:numPr>
        <w:tabs>
          <w:tab w:val="left" w:pos="420"/>
          <w:tab w:val="clear" w:pos="0"/>
        </w:tabs>
        <w:spacing w:line="360" w:lineRule="auto"/>
        <w:ind w:firstLine="480"/>
        <w:rPr>
          <w:szCs w:val="24"/>
        </w:rPr>
      </w:pPr>
      <w:r>
        <w:rPr>
          <w:rFonts w:hint="eastAsia"/>
          <w:szCs w:val="24"/>
        </w:rPr>
        <w:t>支持多图表数据看板与看板定时邮件发送。</w:t>
      </w:r>
    </w:p>
    <w:p w14:paraId="2F5C50B6">
      <w:pPr>
        <w:numPr>
          <w:ilvl w:val="0"/>
          <w:numId w:val="8"/>
        </w:numPr>
        <w:tabs>
          <w:tab w:val="left" w:pos="420"/>
          <w:tab w:val="clear" w:pos="0"/>
        </w:tabs>
        <w:spacing w:line="360" w:lineRule="auto"/>
        <w:ind w:firstLine="480"/>
        <w:rPr>
          <w:szCs w:val="24"/>
        </w:rPr>
      </w:pPr>
      <w:r>
        <w:rPr>
          <w:rFonts w:hint="eastAsia"/>
          <w:szCs w:val="24"/>
        </w:rPr>
        <w:t>多种数据源接入。</w:t>
      </w:r>
    </w:p>
    <w:p w14:paraId="03913594">
      <w:pPr>
        <w:spacing w:line="360" w:lineRule="auto"/>
        <w:ind w:firstLine="482"/>
        <w:rPr>
          <w:szCs w:val="24"/>
        </w:rPr>
      </w:pPr>
      <w:r>
        <w:rPr>
          <w:rFonts w:hint="eastAsia"/>
          <w:b/>
          <w:bCs/>
          <w:szCs w:val="24"/>
        </w:rPr>
        <w:t>5.1.2配置数据源</w:t>
      </w:r>
    </w:p>
    <w:p w14:paraId="74C131F9">
      <w:pPr>
        <w:spacing w:line="360" w:lineRule="auto"/>
        <w:ind w:firstLine="480"/>
        <w:rPr>
          <w:szCs w:val="24"/>
        </w:rPr>
      </w:pPr>
      <w:r>
        <w:rPr>
          <w:rFonts w:hint="eastAsia"/>
          <w:szCs w:val="24"/>
        </w:rPr>
        <w:t>支持灵活配置多个数据源。</w:t>
      </w:r>
    </w:p>
    <w:p w14:paraId="32A71B0A">
      <w:pPr>
        <w:spacing w:line="360" w:lineRule="auto"/>
        <w:ind w:firstLine="482"/>
        <w:rPr>
          <w:szCs w:val="24"/>
        </w:rPr>
      </w:pPr>
      <w:r>
        <w:rPr>
          <w:rFonts w:hint="eastAsia"/>
          <w:b/>
          <w:bCs/>
          <w:szCs w:val="24"/>
        </w:rPr>
        <w:t>5.1.3报表类型</w:t>
      </w:r>
    </w:p>
    <w:p w14:paraId="4FC51298">
      <w:pPr>
        <w:numPr>
          <w:ilvl w:val="0"/>
          <w:numId w:val="9"/>
        </w:numPr>
        <w:spacing w:line="360" w:lineRule="auto"/>
        <w:ind w:firstLine="480"/>
        <w:rPr>
          <w:szCs w:val="24"/>
        </w:rPr>
      </w:pPr>
      <w:r>
        <w:rPr>
          <w:rFonts w:hint="eastAsia"/>
          <w:szCs w:val="24"/>
        </w:rPr>
        <w:t>打印报表：</w:t>
      </w:r>
    </w:p>
    <w:p w14:paraId="56672164">
      <w:pPr>
        <w:numPr>
          <w:ilvl w:val="0"/>
          <w:numId w:val="10"/>
        </w:numPr>
        <w:spacing w:line="360" w:lineRule="auto"/>
        <w:ind w:firstLine="480"/>
        <w:rPr>
          <w:szCs w:val="24"/>
        </w:rPr>
      </w:pPr>
      <w:r>
        <w:rPr>
          <w:rFonts w:hint="eastAsia"/>
          <w:szCs w:val="24"/>
        </w:rPr>
        <w:t>数据打印：单据和列表数据打印。</w:t>
      </w:r>
    </w:p>
    <w:p w14:paraId="4D78E0CE">
      <w:pPr>
        <w:numPr>
          <w:ilvl w:val="0"/>
          <w:numId w:val="10"/>
        </w:numPr>
        <w:spacing w:line="360" w:lineRule="auto"/>
        <w:ind w:firstLine="480"/>
        <w:rPr>
          <w:szCs w:val="24"/>
        </w:rPr>
      </w:pPr>
      <w:r>
        <w:rPr>
          <w:rFonts w:hint="eastAsia"/>
          <w:szCs w:val="24"/>
        </w:rPr>
        <w:t>档案打印：设备名牌、物料档案、仓库编码等。</w:t>
      </w:r>
    </w:p>
    <w:p w14:paraId="315512C2">
      <w:pPr>
        <w:numPr>
          <w:ilvl w:val="0"/>
          <w:numId w:val="9"/>
        </w:numPr>
        <w:spacing w:line="360" w:lineRule="auto"/>
        <w:ind w:firstLine="480"/>
        <w:rPr>
          <w:szCs w:val="24"/>
        </w:rPr>
      </w:pPr>
      <w:r>
        <w:rPr>
          <w:rFonts w:hint="eastAsia"/>
          <w:szCs w:val="24"/>
        </w:rPr>
        <w:t>统计分析报表</w:t>
      </w:r>
    </w:p>
    <w:p w14:paraId="27BD60BD">
      <w:pPr>
        <w:numPr>
          <w:ilvl w:val="0"/>
          <w:numId w:val="11"/>
        </w:numPr>
        <w:spacing w:line="360" w:lineRule="auto"/>
        <w:ind w:firstLine="480"/>
        <w:rPr>
          <w:szCs w:val="24"/>
        </w:rPr>
      </w:pPr>
      <w:r>
        <w:rPr>
          <w:rFonts w:hint="eastAsia"/>
          <w:szCs w:val="24"/>
        </w:rPr>
        <w:t>表格型：网格（数据不可扩展）、表格（数据自动扩展）、多层嵌套表格（进一步链接明细数据分析）、分组报表（可多层、多维）、交叉报表（多维、行列字段可小计和总计）等。</w:t>
      </w:r>
    </w:p>
    <w:p w14:paraId="2734F858">
      <w:pPr>
        <w:numPr>
          <w:ilvl w:val="0"/>
          <w:numId w:val="11"/>
        </w:numPr>
        <w:spacing w:line="360" w:lineRule="auto"/>
        <w:ind w:firstLine="480"/>
        <w:rPr>
          <w:szCs w:val="24"/>
        </w:rPr>
      </w:pPr>
      <w:r>
        <w:rPr>
          <w:rFonts w:hint="eastAsia"/>
          <w:szCs w:val="24"/>
        </w:rPr>
        <w:t>图表型：柱形图、拆线图、饼图、甘特图、面积图、散点图等。</w:t>
      </w:r>
    </w:p>
    <w:p w14:paraId="36281EF6">
      <w:pPr>
        <w:numPr>
          <w:ilvl w:val="0"/>
          <w:numId w:val="11"/>
        </w:numPr>
        <w:spacing w:line="360" w:lineRule="auto"/>
        <w:ind w:firstLine="480"/>
        <w:rPr>
          <w:szCs w:val="24"/>
        </w:rPr>
      </w:pPr>
      <w:r>
        <w:rPr>
          <w:rFonts w:hint="eastAsia"/>
          <w:szCs w:val="24"/>
        </w:rPr>
        <w:t>混合型：表格型和图表型可各自混合，也可交叉混合使用展现数据。</w:t>
      </w:r>
    </w:p>
    <w:p w14:paraId="3C3898C9">
      <w:pPr>
        <w:spacing w:line="360" w:lineRule="auto"/>
        <w:ind w:firstLine="482"/>
        <w:rPr>
          <w:b/>
          <w:bCs/>
          <w:szCs w:val="24"/>
        </w:rPr>
      </w:pPr>
      <w:r>
        <w:rPr>
          <w:rFonts w:hint="eastAsia"/>
          <w:b/>
          <w:bCs/>
          <w:szCs w:val="24"/>
        </w:rPr>
        <w:t>5.1.4报表数据查询与过滤</w:t>
      </w:r>
    </w:p>
    <w:p w14:paraId="624A338E">
      <w:pPr>
        <w:numPr>
          <w:ilvl w:val="0"/>
          <w:numId w:val="12"/>
        </w:numPr>
        <w:tabs>
          <w:tab w:val="left" w:pos="420"/>
          <w:tab w:val="clear" w:pos="0"/>
        </w:tabs>
        <w:spacing w:line="360" w:lineRule="auto"/>
        <w:ind w:firstLine="480"/>
        <w:rPr>
          <w:szCs w:val="24"/>
        </w:rPr>
      </w:pPr>
      <w:r>
        <w:rPr>
          <w:rFonts w:hint="eastAsia"/>
          <w:szCs w:val="24"/>
        </w:rPr>
        <w:t>站点过滤：设备管理为集团化账套管理，所以报表数据可根据公司自动过滤数据，即总站点统计所有公司数据，分站点只统计当前站点或公司的数据。</w:t>
      </w:r>
    </w:p>
    <w:p w14:paraId="53A8B4F0">
      <w:pPr>
        <w:numPr>
          <w:ilvl w:val="0"/>
          <w:numId w:val="12"/>
        </w:numPr>
        <w:tabs>
          <w:tab w:val="left" w:pos="420"/>
          <w:tab w:val="clear" w:pos="0"/>
        </w:tabs>
        <w:spacing w:line="360" w:lineRule="auto"/>
        <w:ind w:firstLine="480"/>
        <w:rPr>
          <w:szCs w:val="24"/>
        </w:rPr>
      </w:pPr>
      <w:r>
        <w:rPr>
          <w:rFonts w:hint="eastAsia"/>
          <w:szCs w:val="24"/>
        </w:rPr>
        <w:t>查询条件过滤：查询条件可按需配置（如时间：年、月、起始时间，部门：组织机构、归属部门、执行部门，分类：设备分类、专业类型、ABC分类，点检路线、工单状态、工单类型等），不选择则显示所有数据或默认项，选择则按相应的条件或多条件联合过滤数据。</w:t>
      </w:r>
    </w:p>
    <w:p w14:paraId="0A3239AD">
      <w:pPr>
        <w:numPr>
          <w:ilvl w:val="0"/>
          <w:numId w:val="12"/>
        </w:numPr>
        <w:tabs>
          <w:tab w:val="left" w:pos="420"/>
          <w:tab w:val="clear" w:pos="0"/>
        </w:tabs>
        <w:spacing w:line="360" w:lineRule="auto"/>
        <w:ind w:firstLine="480"/>
        <w:rPr>
          <w:szCs w:val="24"/>
        </w:rPr>
      </w:pPr>
      <w:r>
        <w:rPr>
          <w:rFonts w:hint="eastAsia"/>
          <w:szCs w:val="24"/>
        </w:rPr>
        <w:t>权限过滤：数据过滤结果受制于当前人员的角色权限。</w:t>
      </w:r>
    </w:p>
    <w:p w14:paraId="43DB5732">
      <w:pPr>
        <w:spacing w:line="360" w:lineRule="auto"/>
        <w:ind w:firstLine="482"/>
        <w:outlineLvl w:val="3"/>
        <w:rPr>
          <w:b/>
          <w:bCs/>
          <w:szCs w:val="24"/>
        </w:rPr>
      </w:pPr>
      <w:bookmarkStart w:id="215" w:name="_Toc3742"/>
      <w:r>
        <w:rPr>
          <w:rFonts w:hint="eastAsia"/>
          <w:b/>
          <w:bCs/>
          <w:szCs w:val="24"/>
        </w:rPr>
        <w:t>5.2设备统计类报表</w:t>
      </w:r>
      <w:bookmarkEnd w:id="215"/>
    </w:p>
    <w:p w14:paraId="50ACFF97">
      <w:pPr>
        <w:numPr>
          <w:ilvl w:val="0"/>
          <w:numId w:val="13"/>
        </w:numPr>
        <w:tabs>
          <w:tab w:val="left" w:pos="420"/>
          <w:tab w:val="clear" w:pos="0"/>
        </w:tabs>
        <w:spacing w:line="360" w:lineRule="auto"/>
        <w:ind w:firstLine="480"/>
        <w:rPr>
          <w:szCs w:val="24"/>
        </w:rPr>
      </w:pPr>
      <w:r>
        <w:rPr>
          <w:rFonts w:hint="eastAsia"/>
          <w:szCs w:val="24"/>
        </w:rPr>
        <w:t>设备开动率。</w:t>
      </w:r>
    </w:p>
    <w:p w14:paraId="17D62950">
      <w:pPr>
        <w:numPr>
          <w:ilvl w:val="0"/>
          <w:numId w:val="13"/>
        </w:numPr>
        <w:tabs>
          <w:tab w:val="left" w:pos="420"/>
          <w:tab w:val="clear" w:pos="0"/>
        </w:tabs>
        <w:spacing w:line="360" w:lineRule="auto"/>
        <w:ind w:firstLine="480"/>
        <w:rPr>
          <w:szCs w:val="24"/>
        </w:rPr>
      </w:pPr>
      <w:r>
        <w:rPr>
          <w:rFonts w:hint="eastAsia"/>
          <w:szCs w:val="24"/>
        </w:rPr>
        <w:t>设备分布统计,可按设备分布统计按类别、按价值、按ABC等基于部门的报表。</w:t>
      </w:r>
    </w:p>
    <w:p w14:paraId="0DFB934B">
      <w:pPr>
        <w:numPr>
          <w:ilvl w:val="0"/>
          <w:numId w:val="13"/>
        </w:numPr>
        <w:tabs>
          <w:tab w:val="left" w:pos="420"/>
          <w:tab w:val="clear" w:pos="0"/>
        </w:tabs>
        <w:spacing w:line="360" w:lineRule="auto"/>
        <w:ind w:firstLine="480"/>
        <w:rPr>
          <w:szCs w:val="24"/>
        </w:rPr>
      </w:pPr>
      <w:r>
        <w:rPr>
          <w:rFonts w:hint="eastAsia"/>
          <w:szCs w:val="24"/>
        </w:rPr>
        <w:t>设备盘点表。</w:t>
      </w:r>
    </w:p>
    <w:p w14:paraId="074E64B0">
      <w:pPr>
        <w:spacing w:line="360" w:lineRule="auto"/>
        <w:ind w:firstLine="482"/>
        <w:outlineLvl w:val="3"/>
        <w:rPr>
          <w:b/>
          <w:bCs/>
          <w:szCs w:val="24"/>
        </w:rPr>
      </w:pPr>
      <w:bookmarkStart w:id="216" w:name="_Toc13372"/>
      <w:r>
        <w:rPr>
          <w:rFonts w:hint="eastAsia"/>
          <w:b/>
          <w:bCs/>
          <w:szCs w:val="24"/>
        </w:rPr>
        <w:t>5.3运行指标报表</w:t>
      </w:r>
      <w:bookmarkEnd w:id="216"/>
    </w:p>
    <w:p w14:paraId="65796F81">
      <w:pPr>
        <w:numPr>
          <w:ilvl w:val="0"/>
          <w:numId w:val="14"/>
        </w:numPr>
        <w:tabs>
          <w:tab w:val="left" w:pos="420"/>
          <w:tab w:val="clear" w:pos="0"/>
        </w:tabs>
        <w:spacing w:line="360" w:lineRule="auto"/>
        <w:ind w:firstLine="480"/>
        <w:rPr>
          <w:szCs w:val="24"/>
        </w:rPr>
      </w:pPr>
      <w:r>
        <w:rPr>
          <w:rFonts w:hint="eastAsia"/>
          <w:szCs w:val="24"/>
        </w:rPr>
        <w:t>设备完好率，点击可查看明细清单。</w:t>
      </w:r>
    </w:p>
    <w:p w14:paraId="7EB79135">
      <w:pPr>
        <w:numPr>
          <w:ilvl w:val="0"/>
          <w:numId w:val="14"/>
        </w:numPr>
        <w:tabs>
          <w:tab w:val="left" w:pos="420"/>
          <w:tab w:val="clear" w:pos="0"/>
        </w:tabs>
        <w:spacing w:line="360" w:lineRule="auto"/>
        <w:ind w:firstLine="480"/>
        <w:rPr>
          <w:szCs w:val="24"/>
        </w:rPr>
      </w:pPr>
      <w:r>
        <w:rPr>
          <w:rFonts w:hint="eastAsia"/>
          <w:szCs w:val="24"/>
        </w:rPr>
        <w:t>设备故障停机率，可按时间过滤年度、月度、某一时间段内数据，简单修改可作为年度停机时间报表。</w:t>
      </w:r>
    </w:p>
    <w:p w14:paraId="634AAD4A">
      <w:pPr>
        <w:spacing w:line="360" w:lineRule="auto"/>
        <w:ind w:firstLine="482"/>
        <w:jc w:val="left"/>
        <w:outlineLvl w:val="2"/>
        <w:rPr>
          <w:rFonts w:cs="宋体"/>
          <w:b/>
          <w:kern w:val="2"/>
          <w:szCs w:val="24"/>
        </w:rPr>
      </w:pPr>
      <w:bookmarkStart w:id="217" w:name="_Toc18114"/>
      <w:r>
        <w:rPr>
          <w:rFonts w:hint="eastAsia" w:cs="宋体"/>
          <w:b/>
          <w:kern w:val="2"/>
          <w:szCs w:val="24"/>
        </w:rPr>
        <w:t>6.移动应用</w:t>
      </w:r>
      <w:bookmarkEnd w:id="217"/>
    </w:p>
    <w:p w14:paraId="42E6E6A5">
      <w:pPr>
        <w:spacing w:line="360" w:lineRule="auto"/>
        <w:ind w:firstLine="480"/>
        <w:jc w:val="left"/>
        <w:rPr>
          <w:rFonts w:cs="宋体"/>
          <w:bCs/>
          <w:kern w:val="2"/>
          <w:szCs w:val="24"/>
        </w:rPr>
      </w:pPr>
      <w:r>
        <w:rPr>
          <w:rFonts w:hint="eastAsia" w:cs="宋体"/>
          <w:bCs/>
          <w:kern w:val="2"/>
          <w:szCs w:val="24"/>
        </w:rPr>
        <w:t>PDA、手机等移动设备，可以通过有线、无线方式接入网络，联接设备管理服务器，进行日常工作。可通过移动端（含微信、钉钉、手机APP等）扫描设备二维码执行移动端业务，移动端业务包括但不限于以下内容：</w:t>
      </w:r>
    </w:p>
    <w:p w14:paraId="2F2B1DF6">
      <w:pPr>
        <w:spacing w:line="360" w:lineRule="auto"/>
        <w:ind w:firstLine="482"/>
        <w:outlineLvl w:val="3"/>
        <w:rPr>
          <w:rFonts w:cs="宋体"/>
          <w:bCs/>
          <w:kern w:val="2"/>
          <w:szCs w:val="24"/>
        </w:rPr>
      </w:pPr>
      <w:bookmarkStart w:id="218" w:name="_Toc7298"/>
      <w:r>
        <w:rPr>
          <w:rFonts w:hint="eastAsia" w:cs="宋体"/>
          <w:b/>
          <w:kern w:val="2"/>
          <w:szCs w:val="24"/>
        </w:rPr>
        <w:t>6.1工单管理</w:t>
      </w:r>
      <w:bookmarkEnd w:id="218"/>
    </w:p>
    <w:p w14:paraId="24292DED">
      <w:pPr>
        <w:spacing w:line="360" w:lineRule="auto"/>
        <w:ind w:firstLine="480"/>
        <w:jc w:val="left"/>
        <w:rPr>
          <w:rFonts w:cs="宋体"/>
          <w:bCs/>
          <w:kern w:val="2"/>
          <w:szCs w:val="24"/>
        </w:rPr>
      </w:pPr>
      <w:r>
        <w:rPr>
          <w:rFonts w:hint="eastAsia" w:cs="宋体"/>
          <w:bCs/>
          <w:kern w:val="2"/>
          <w:szCs w:val="24"/>
        </w:rPr>
        <w:t>包括维修工单（缺陷报修单、计划检修单、委外单、技改工单等）、维保（含润滑）、点巡检、安装等工单的创建、审批、接修、反馈、关闭、汇总全流程处理功能，工单完成后可自动形成相应维修、保养等记录；支持扫码填单，填写界面简洁、内容尽量简便，支持拍照上传、语音录入；</w:t>
      </w:r>
    </w:p>
    <w:p w14:paraId="5AD3A27B">
      <w:pPr>
        <w:spacing w:line="360" w:lineRule="auto"/>
        <w:ind w:firstLine="482"/>
        <w:jc w:val="left"/>
        <w:rPr>
          <w:rFonts w:cs="宋体"/>
          <w:bCs/>
          <w:kern w:val="2"/>
          <w:szCs w:val="24"/>
        </w:rPr>
      </w:pPr>
      <w:r>
        <w:rPr>
          <w:rFonts w:hint="eastAsia" w:cs="宋体"/>
          <w:b/>
          <w:kern w:val="2"/>
          <w:szCs w:val="24"/>
        </w:rPr>
        <w:t>6.1.1维修工单</w:t>
      </w:r>
    </w:p>
    <w:p w14:paraId="040D2A2B">
      <w:pPr>
        <w:spacing w:line="360" w:lineRule="auto"/>
        <w:ind w:firstLine="480"/>
        <w:jc w:val="left"/>
        <w:rPr>
          <w:rFonts w:cs="宋体"/>
          <w:bCs/>
          <w:kern w:val="2"/>
          <w:szCs w:val="24"/>
        </w:rPr>
      </w:pPr>
      <w:r>
        <w:rPr>
          <w:rFonts w:hint="eastAsia" w:cs="宋体"/>
          <w:bCs/>
          <w:kern w:val="2"/>
          <w:szCs w:val="24"/>
        </w:rPr>
        <w:t>支持手持端app扫码或刷卡报修，一键扫码报修；故障缺陷列表单支持速查功能；也可在APP手动创建维修单，直接选择台账信息或扫码添加；可以添加物资备件；可以添加多种格式的附件；</w:t>
      </w:r>
    </w:p>
    <w:p w14:paraId="0817732A">
      <w:pPr>
        <w:spacing w:line="360" w:lineRule="auto"/>
        <w:ind w:firstLine="482"/>
        <w:jc w:val="left"/>
        <w:rPr>
          <w:rFonts w:cs="宋体"/>
          <w:bCs/>
          <w:kern w:val="2"/>
          <w:szCs w:val="24"/>
        </w:rPr>
      </w:pPr>
      <w:r>
        <w:rPr>
          <w:rFonts w:hint="eastAsia" w:cs="宋体"/>
          <w:b/>
          <w:kern w:val="2"/>
          <w:szCs w:val="24"/>
        </w:rPr>
        <w:t>6.1.2维保润滑工单</w:t>
      </w:r>
    </w:p>
    <w:p w14:paraId="06A9C6F0">
      <w:pPr>
        <w:spacing w:line="360" w:lineRule="auto"/>
        <w:ind w:firstLine="480"/>
        <w:jc w:val="left"/>
        <w:rPr>
          <w:rFonts w:cs="宋体"/>
          <w:bCs/>
          <w:kern w:val="2"/>
          <w:szCs w:val="24"/>
        </w:rPr>
      </w:pPr>
      <w:r>
        <w:rPr>
          <w:rFonts w:hint="eastAsia" w:cs="宋体"/>
          <w:bCs/>
          <w:kern w:val="2"/>
          <w:szCs w:val="24"/>
        </w:rPr>
        <w:t>系统已制定的维护保养标准，按照标准生成对应的维护保养计划，手持端APP内的维保单据数据与电脑端一致，包含单据信息、维保明细、附件、工作流审批等一些内容；维保单列表支持速查；</w:t>
      </w:r>
    </w:p>
    <w:p w14:paraId="3A418CE6">
      <w:pPr>
        <w:spacing w:line="360" w:lineRule="auto"/>
        <w:ind w:firstLine="482"/>
        <w:jc w:val="left"/>
        <w:rPr>
          <w:rFonts w:cs="宋体"/>
          <w:bCs/>
          <w:kern w:val="2"/>
          <w:szCs w:val="24"/>
        </w:rPr>
      </w:pPr>
      <w:r>
        <w:rPr>
          <w:rFonts w:hint="eastAsia" w:cs="宋体"/>
          <w:b/>
          <w:kern w:val="2"/>
          <w:szCs w:val="24"/>
        </w:rPr>
        <w:t>6.1.3巡点检工单</w:t>
      </w:r>
    </w:p>
    <w:p w14:paraId="7FC737BB">
      <w:pPr>
        <w:spacing w:line="360" w:lineRule="auto"/>
        <w:ind w:firstLine="480"/>
        <w:jc w:val="left"/>
        <w:rPr>
          <w:rFonts w:cs="宋体"/>
          <w:bCs/>
          <w:kern w:val="2"/>
          <w:szCs w:val="24"/>
        </w:rPr>
      </w:pPr>
      <w:r>
        <w:rPr>
          <w:rFonts w:hint="eastAsia" w:cs="宋体"/>
          <w:bCs/>
          <w:kern w:val="2"/>
          <w:szCs w:val="24"/>
        </w:rPr>
        <w:t>设备管理的点检仪APP，用于安装在专业点仪或手机上，可读取温、振动、RFID等的数据。</w:t>
      </w:r>
    </w:p>
    <w:p w14:paraId="18B1FB85">
      <w:pPr>
        <w:spacing w:line="360" w:lineRule="auto"/>
        <w:ind w:firstLine="480"/>
        <w:jc w:val="left"/>
        <w:rPr>
          <w:rFonts w:cs="宋体"/>
          <w:bCs/>
          <w:kern w:val="2"/>
          <w:szCs w:val="24"/>
        </w:rPr>
      </w:pPr>
      <w:r>
        <w:rPr>
          <w:rFonts w:hint="eastAsia" w:cs="宋体"/>
          <w:bCs/>
          <w:kern w:val="2"/>
          <w:szCs w:val="24"/>
        </w:rPr>
        <w:t>点检路线停用、启用：点检路线未运行即为点检停用，点检路线运行即为启用；</w:t>
      </w:r>
    </w:p>
    <w:p w14:paraId="7F0AD715">
      <w:pPr>
        <w:spacing w:line="360" w:lineRule="auto"/>
        <w:ind w:firstLine="482"/>
        <w:outlineLvl w:val="3"/>
        <w:rPr>
          <w:rFonts w:cs="宋体"/>
          <w:bCs/>
          <w:kern w:val="2"/>
          <w:szCs w:val="24"/>
        </w:rPr>
      </w:pPr>
      <w:bookmarkStart w:id="219" w:name="_Toc27896"/>
      <w:r>
        <w:rPr>
          <w:rFonts w:hint="eastAsia" w:cs="宋体"/>
          <w:b/>
          <w:kern w:val="2"/>
          <w:szCs w:val="24"/>
        </w:rPr>
        <w:t>6.2点巡检管理</w:t>
      </w:r>
      <w:bookmarkEnd w:id="219"/>
    </w:p>
    <w:p w14:paraId="5DEA428E">
      <w:pPr>
        <w:spacing w:line="360" w:lineRule="auto"/>
        <w:ind w:firstLine="480"/>
        <w:jc w:val="left"/>
        <w:rPr>
          <w:rFonts w:cs="宋体"/>
          <w:bCs/>
          <w:kern w:val="2"/>
          <w:szCs w:val="24"/>
        </w:rPr>
      </w:pPr>
      <w:r>
        <w:rPr>
          <w:rFonts w:hint="eastAsia" w:cs="宋体"/>
          <w:bCs/>
          <w:kern w:val="2"/>
          <w:szCs w:val="24"/>
        </w:rPr>
        <w:t>支持点巡检路线下载、点巡检执行、离线点检，其中点巡检执行可以通过二维码等方式对设备进行识别；</w:t>
      </w:r>
    </w:p>
    <w:p w14:paraId="7F081A39">
      <w:pPr>
        <w:spacing w:line="360" w:lineRule="auto"/>
        <w:ind w:firstLine="480"/>
        <w:jc w:val="left"/>
        <w:rPr>
          <w:rFonts w:cs="宋体"/>
          <w:bCs/>
          <w:kern w:val="2"/>
          <w:szCs w:val="24"/>
        </w:rPr>
      </w:pPr>
      <w:r>
        <w:rPr>
          <w:rFonts w:hint="eastAsia" w:cs="宋体"/>
          <w:bCs/>
          <w:kern w:val="2"/>
          <w:szCs w:val="24"/>
        </w:rPr>
        <w:t>通过点检APP，可完成在线或离线点检（手持端下载点检计划完成后，数据就储存在本机中，执行点检计划时，可以不需要网络）。可以通过手持终端上传图片、视频、录音等现场数据。</w:t>
      </w:r>
    </w:p>
    <w:p w14:paraId="74E2F856">
      <w:pPr>
        <w:spacing w:line="360" w:lineRule="auto"/>
        <w:ind w:firstLine="482"/>
        <w:jc w:val="left"/>
        <w:rPr>
          <w:rFonts w:cs="宋体"/>
          <w:bCs/>
          <w:kern w:val="2"/>
          <w:szCs w:val="24"/>
        </w:rPr>
      </w:pPr>
      <w:r>
        <w:rPr>
          <w:rFonts w:hint="eastAsia" w:cs="宋体"/>
          <w:b/>
          <w:kern w:val="2"/>
          <w:szCs w:val="24"/>
        </w:rPr>
        <w:t>6.3设备资料管理</w:t>
      </w:r>
    </w:p>
    <w:p w14:paraId="425DF05B">
      <w:pPr>
        <w:spacing w:line="360" w:lineRule="auto"/>
        <w:ind w:firstLine="480"/>
        <w:jc w:val="left"/>
        <w:rPr>
          <w:rFonts w:cs="宋体"/>
          <w:bCs/>
          <w:kern w:val="2"/>
          <w:szCs w:val="24"/>
        </w:rPr>
      </w:pPr>
      <w:r>
        <w:rPr>
          <w:rFonts w:hint="eastAsia" w:cs="宋体"/>
          <w:bCs/>
          <w:kern w:val="2"/>
          <w:szCs w:val="24"/>
        </w:rPr>
        <w:t>用户可通过移动端查询设备台账、履历，技术文档、运行记录等设备资料。</w:t>
      </w:r>
    </w:p>
    <w:p w14:paraId="28DAA94E">
      <w:pPr>
        <w:spacing w:line="360" w:lineRule="auto"/>
        <w:ind w:firstLine="482"/>
        <w:jc w:val="left"/>
        <w:rPr>
          <w:rFonts w:cs="宋体"/>
          <w:bCs/>
          <w:kern w:val="2"/>
          <w:szCs w:val="24"/>
        </w:rPr>
      </w:pPr>
      <w:r>
        <w:rPr>
          <w:rFonts w:hint="eastAsia" w:cs="宋体"/>
          <w:b/>
          <w:kern w:val="2"/>
          <w:szCs w:val="24"/>
        </w:rPr>
        <w:t>6.3.1查询台账</w:t>
      </w:r>
    </w:p>
    <w:p w14:paraId="679DCB6F">
      <w:pPr>
        <w:spacing w:line="360" w:lineRule="auto"/>
        <w:ind w:firstLine="480"/>
        <w:jc w:val="left"/>
        <w:rPr>
          <w:rFonts w:cs="宋体"/>
          <w:bCs/>
          <w:kern w:val="2"/>
          <w:szCs w:val="24"/>
        </w:rPr>
      </w:pPr>
      <w:r>
        <w:rPr>
          <w:rFonts w:hint="eastAsia" w:cs="宋体"/>
          <w:bCs/>
          <w:kern w:val="2"/>
          <w:szCs w:val="24"/>
        </w:rPr>
        <w:t>设备台账信息，可在列表中快速过滤、查询；台账基本信息展示，可以上传附件；</w:t>
      </w:r>
    </w:p>
    <w:p w14:paraId="2B9240B6">
      <w:pPr>
        <w:spacing w:line="360" w:lineRule="auto"/>
        <w:ind w:firstLine="482"/>
        <w:jc w:val="left"/>
        <w:rPr>
          <w:rFonts w:cs="宋体"/>
          <w:bCs/>
          <w:kern w:val="2"/>
          <w:szCs w:val="24"/>
        </w:rPr>
      </w:pPr>
      <w:r>
        <w:rPr>
          <w:rFonts w:hint="eastAsia" w:cs="宋体"/>
          <w:b/>
          <w:kern w:val="2"/>
          <w:szCs w:val="24"/>
        </w:rPr>
        <w:t>6.3.2查询设备履历与标准</w:t>
      </w:r>
    </w:p>
    <w:p w14:paraId="24C9425D">
      <w:pPr>
        <w:spacing w:line="360" w:lineRule="auto"/>
        <w:ind w:firstLine="480"/>
        <w:jc w:val="left"/>
        <w:rPr>
          <w:rFonts w:cs="宋体"/>
          <w:bCs/>
          <w:kern w:val="2"/>
          <w:szCs w:val="24"/>
        </w:rPr>
      </w:pPr>
      <w:r>
        <w:rPr>
          <w:rFonts w:hint="eastAsia" w:cs="宋体"/>
          <w:bCs/>
          <w:kern w:val="2"/>
          <w:szCs w:val="24"/>
        </w:rPr>
        <w:t>包含某一设备的所有业务工单和物料领用信息、附件信息、诊断报告等；</w:t>
      </w:r>
    </w:p>
    <w:p w14:paraId="58039EC2">
      <w:pPr>
        <w:spacing w:line="360" w:lineRule="auto"/>
        <w:ind w:firstLine="482"/>
        <w:jc w:val="left"/>
        <w:rPr>
          <w:rFonts w:cs="宋体"/>
          <w:bCs/>
          <w:kern w:val="2"/>
          <w:szCs w:val="24"/>
        </w:rPr>
      </w:pPr>
      <w:r>
        <w:rPr>
          <w:rFonts w:hint="eastAsia" w:cs="宋体"/>
          <w:b/>
          <w:kern w:val="2"/>
          <w:szCs w:val="24"/>
        </w:rPr>
        <w:t>6.3.3技术文档</w:t>
      </w:r>
    </w:p>
    <w:p w14:paraId="1DEE626D">
      <w:pPr>
        <w:spacing w:line="360" w:lineRule="auto"/>
        <w:ind w:firstLine="480"/>
        <w:jc w:val="left"/>
        <w:rPr>
          <w:rFonts w:cs="宋体"/>
          <w:bCs/>
          <w:kern w:val="2"/>
          <w:szCs w:val="24"/>
        </w:rPr>
      </w:pPr>
      <w:r>
        <w:rPr>
          <w:rFonts w:hint="eastAsia" w:cs="宋体"/>
          <w:bCs/>
          <w:kern w:val="2"/>
          <w:szCs w:val="24"/>
        </w:rPr>
        <w:t>可上传下载文档资料。</w:t>
      </w:r>
    </w:p>
    <w:p w14:paraId="5D42C34B">
      <w:pPr>
        <w:spacing w:line="360" w:lineRule="auto"/>
        <w:ind w:firstLine="482"/>
        <w:outlineLvl w:val="3"/>
        <w:rPr>
          <w:rFonts w:cs="宋体"/>
          <w:bCs/>
          <w:kern w:val="2"/>
          <w:szCs w:val="24"/>
        </w:rPr>
      </w:pPr>
      <w:bookmarkStart w:id="220" w:name="_Toc22879"/>
      <w:r>
        <w:rPr>
          <w:rFonts w:hint="eastAsia" w:cs="宋体"/>
          <w:b/>
          <w:kern w:val="2"/>
          <w:szCs w:val="24"/>
        </w:rPr>
        <w:t>6.4报表查看</w:t>
      </w:r>
      <w:bookmarkEnd w:id="220"/>
    </w:p>
    <w:p w14:paraId="654AE9F6">
      <w:pPr>
        <w:spacing w:line="360" w:lineRule="auto"/>
        <w:ind w:firstLine="480"/>
        <w:jc w:val="left"/>
        <w:rPr>
          <w:rFonts w:cs="宋体"/>
          <w:bCs/>
          <w:kern w:val="2"/>
          <w:szCs w:val="24"/>
        </w:rPr>
      </w:pPr>
      <w:r>
        <w:rPr>
          <w:rFonts w:hint="eastAsia" w:cs="宋体"/>
          <w:bCs/>
          <w:kern w:val="2"/>
          <w:szCs w:val="24"/>
        </w:rPr>
        <w:t>登录人按照电脑端分配的用户权限展示可查看相应的指标与报表；</w:t>
      </w:r>
    </w:p>
    <w:p w14:paraId="05FE7AC8">
      <w:pPr>
        <w:spacing w:line="360" w:lineRule="auto"/>
        <w:ind w:firstLine="482"/>
        <w:outlineLvl w:val="3"/>
        <w:rPr>
          <w:rFonts w:cs="宋体"/>
          <w:bCs/>
          <w:kern w:val="2"/>
          <w:szCs w:val="24"/>
        </w:rPr>
      </w:pPr>
      <w:bookmarkStart w:id="221" w:name="_Toc16899"/>
      <w:r>
        <w:rPr>
          <w:rFonts w:hint="eastAsia" w:cs="宋体"/>
          <w:b/>
          <w:kern w:val="2"/>
          <w:szCs w:val="24"/>
        </w:rPr>
        <w:t>6.5审批管理</w:t>
      </w:r>
      <w:bookmarkEnd w:id="221"/>
    </w:p>
    <w:p w14:paraId="0EB8FA2A">
      <w:pPr>
        <w:spacing w:line="360" w:lineRule="auto"/>
        <w:ind w:firstLine="480"/>
        <w:jc w:val="left"/>
        <w:rPr>
          <w:rFonts w:cs="宋体"/>
          <w:bCs/>
          <w:kern w:val="2"/>
          <w:szCs w:val="24"/>
        </w:rPr>
      </w:pPr>
      <w:r>
        <w:rPr>
          <w:rFonts w:hint="eastAsia" w:cs="宋体"/>
          <w:bCs/>
          <w:kern w:val="2"/>
          <w:szCs w:val="24"/>
        </w:rPr>
        <w:t>支持所有用户在移动端审批，审批的工作流与电脑端业务单据绑定的工作流一致。满足大部分设备业务流程在移动端审批，少部分审批可根据需要与OA对接审批。</w:t>
      </w:r>
    </w:p>
    <w:p w14:paraId="6961D6E0">
      <w:pPr>
        <w:spacing w:line="360" w:lineRule="auto"/>
        <w:ind w:firstLine="482"/>
        <w:outlineLvl w:val="3"/>
        <w:rPr>
          <w:rFonts w:cs="宋体"/>
          <w:bCs/>
          <w:kern w:val="2"/>
          <w:szCs w:val="24"/>
        </w:rPr>
      </w:pPr>
      <w:bookmarkStart w:id="222" w:name="_Toc26878"/>
      <w:r>
        <w:rPr>
          <w:rFonts w:hint="eastAsia" w:cs="宋体"/>
          <w:b/>
          <w:kern w:val="2"/>
          <w:szCs w:val="24"/>
        </w:rPr>
        <w:t>6.6个人中心</w:t>
      </w:r>
      <w:bookmarkEnd w:id="222"/>
    </w:p>
    <w:p w14:paraId="697D435D">
      <w:pPr>
        <w:spacing w:line="360" w:lineRule="auto"/>
        <w:ind w:firstLine="480"/>
        <w:jc w:val="left"/>
        <w:rPr>
          <w:rFonts w:cs="宋体"/>
          <w:bCs/>
          <w:kern w:val="2"/>
          <w:szCs w:val="24"/>
        </w:rPr>
      </w:pPr>
      <w:r>
        <w:rPr>
          <w:rFonts w:hint="eastAsia" w:cs="宋体"/>
          <w:bCs/>
          <w:kern w:val="2"/>
          <w:szCs w:val="24"/>
        </w:rPr>
        <w:t>支持登录/退出、个人信息、安全设置、意见反馈、版本更新等功能；</w:t>
      </w:r>
    </w:p>
    <w:p w14:paraId="058E2785">
      <w:pPr>
        <w:spacing w:line="360" w:lineRule="auto"/>
        <w:ind w:firstLine="482"/>
        <w:outlineLvl w:val="3"/>
        <w:rPr>
          <w:rFonts w:cs="宋体"/>
          <w:bCs/>
          <w:kern w:val="2"/>
          <w:szCs w:val="24"/>
        </w:rPr>
      </w:pPr>
      <w:bookmarkStart w:id="223" w:name="_Toc20996"/>
      <w:r>
        <w:rPr>
          <w:rFonts w:hint="eastAsia" w:cs="宋体"/>
          <w:b/>
          <w:kern w:val="2"/>
          <w:szCs w:val="24"/>
        </w:rPr>
        <w:t>6.7预警通知</w:t>
      </w:r>
      <w:bookmarkEnd w:id="223"/>
    </w:p>
    <w:p w14:paraId="398EDFE6">
      <w:pPr>
        <w:spacing w:line="360" w:lineRule="auto"/>
        <w:ind w:firstLine="480"/>
        <w:jc w:val="left"/>
        <w:rPr>
          <w:rFonts w:cs="宋体"/>
          <w:bCs/>
          <w:kern w:val="2"/>
          <w:szCs w:val="24"/>
        </w:rPr>
      </w:pPr>
      <w:r>
        <w:rPr>
          <w:rFonts w:hint="eastAsia" w:cs="宋体"/>
          <w:bCs/>
          <w:kern w:val="2"/>
          <w:szCs w:val="24"/>
        </w:rPr>
        <w:t>支持接收预警、故障报修信息；根据每个人工作事项，将定期工作、计划工作进行提醒，工作事项可提前进行提醒管理。弹窗提醒和小程序提醒。</w:t>
      </w:r>
    </w:p>
    <w:p w14:paraId="39305871">
      <w:pPr>
        <w:spacing w:line="360" w:lineRule="auto"/>
        <w:ind w:firstLine="482"/>
        <w:jc w:val="left"/>
        <w:outlineLvl w:val="2"/>
        <w:rPr>
          <w:rFonts w:cs="宋体"/>
          <w:bCs/>
          <w:kern w:val="2"/>
          <w:szCs w:val="24"/>
        </w:rPr>
      </w:pPr>
      <w:bookmarkStart w:id="224" w:name="_Toc10223"/>
      <w:bookmarkStart w:id="225" w:name="_Toc17106"/>
      <w:bookmarkStart w:id="226" w:name="_Toc7861"/>
      <w:bookmarkStart w:id="227" w:name="_Toc15104"/>
      <w:bookmarkStart w:id="228" w:name="_Toc17670"/>
      <w:bookmarkStart w:id="229" w:name="_Toc1157"/>
      <w:bookmarkStart w:id="230" w:name="_Toc6214"/>
      <w:bookmarkStart w:id="231" w:name="_Toc30152"/>
      <w:r>
        <w:rPr>
          <w:rFonts w:hint="eastAsia" w:cs="宋体"/>
          <w:b/>
          <w:kern w:val="2"/>
          <w:szCs w:val="24"/>
        </w:rPr>
        <w:t>7.系统管理</w:t>
      </w:r>
      <w:bookmarkEnd w:id="0"/>
      <w:bookmarkEnd w:id="1"/>
      <w:bookmarkEnd w:id="2"/>
      <w:bookmarkEnd w:id="3"/>
      <w:bookmarkEnd w:id="4"/>
      <w:bookmarkEnd w:id="5"/>
      <w:bookmarkEnd w:id="6"/>
      <w:bookmarkEnd w:id="7"/>
      <w:bookmarkEnd w:id="224"/>
      <w:bookmarkEnd w:id="225"/>
      <w:bookmarkEnd w:id="226"/>
      <w:bookmarkEnd w:id="227"/>
      <w:bookmarkEnd w:id="228"/>
      <w:bookmarkEnd w:id="229"/>
      <w:bookmarkEnd w:id="230"/>
      <w:bookmarkEnd w:id="231"/>
    </w:p>
    <w:p w14:paraId="0EBDB162">
      <w:pPr>
        <w:spacing w:line="360" w:lineRule="auto"/>
        <w:ind w:firstLine="480"/>
        <w:jc w:val="left"/>
        <w:rPr>
          <w:rFonts w:cs="宋体"/>
          <w:bCs/>
          <w:kern w:val="2"/>
          <w:szCs w:val="24"/>
        </w:rPr>
      </w:pPr>
      <w:r>
        <w:rPr>
          <w:rFonts w:hint="eastAsia" w:cs="宋体"/>
          <w:bCs/>
          <w:kern w:val="2"/>
          <w:szCs w:val="24"/>
        </w:rPr>
        <w:t>系统管理是系统信息、基础信息和配置信息的管理入口，包括系统信息、组织机构、角色管理、基础设施、数据备份、二次开发等功能。通过该模块，可完成大部分业务维护工作。</w:t>
      </w:r>
    </w:p>
    <w:p w14:paraId="1E4AB746">
      <w:pPr>
        <w:spacing w:line="360" w:lineRule="auto"/>
        <w:ind w:firstLine="482"/>
        <w:outlineLvl w:val="3"/>
        <w:rPr>
          <w:rFonts w:cs="宋体"/>
          <w:bCs/>
          <w:kern w:val="2"/>
          <w:szCs w:val="24"/>
        </w:rPr>
      </w:pPr>
      <w:bookmarkStart w:id="232" w:name="_Toc9316"/>
      <w:bookmarkStart w:id="233" w:name="_Toc16822"/>
      <w:bookmarkStart w:id="234" w:name="_Toc1715"/>
      <w:bookmarkStart w:id="235" w:name="_Toc12766"/>
      <w:bookmarkStart w:id="236" w:name="_Toc29820"/>
      <w:bookmarkStart w:id="237" w:name="_Toc22992"/>
      <w:bookmarkStart w:id="238" w:name="_Toc6679"/>
      <w:bookmarkStart w:id="239" w:name="_Toc9073"/>
      <w:r>
        <w:rPr>
          <w:rFonts w:hint="eastAsia" w:cs="宋体"/>
          <w:b/>
          <w:kern w:val="2"/>
          <w:szCs w:val="24"/>
        </w:rPr>
        <w:t>7.1菜单管理</w:t>
      </w:r>
      <w:bookmarkEnd w:id="232"/>
      <w:bookmarkEnd w:id="233"/>
      <w:bookmarkEnd w:id="234"/>
      <w:bookmarkEnd w:id="235"/>
      <w:bookmarkEnd w:id="236"/>
      <w:bookmarkEnd w:id="237"/>
      <w:bookmarkEnd w:id="238"/>
      <w:bookmarkEnd w:id="239"/>
    </w:p>
    <w:p w14:paraId="3365B486">
      <w:pPr>
        <w:spacing w:line="360" w:lineRule="auto"/>
        <w:ind w:firstLine="480"/>
        <w:jc w:val="left"/>
        <w:rPr>
          <w:rFonts w:cs="宋体"/>
          <w:bCs/>
          <w:kern w:val="2"/>
          <w:szCs w:val="24"/>
        </w:rPr>
      </w:pPr>
      <w:r>
        <w:rPr>
          <w:rFonts w:hint="eastAsia" w:cs="宋体"/>
          <w:bCs/>
          <w:kern w:val="2"/>
          <w:szCs w:val="24"/>
        </w:rPr>
        <w:t>管理菜单布局与按钮分配，用户可以根据需要设置菜单的位置、名称及相应URL联接。</w:t>
      </w:r>
    </w:p>
    <w:p w14:paraId="5FCB4614">
      <w:pPr>
        <w:spacing w:line="360" w:lineRule="auto"/>
        <w:ind w:firstLine="482"/>
        <w:outlineLvl w:val="3"/>
        <w:rPr>
          <w:rFonts w:cs="宋体"/>
          <w:bCs/>
          <w:kern w:val="2"/>
          <w:szCs w:val="24"/>
        </w:rPr>
      </w:pPr>
      <w:bookmarkStart w:id="240" w:name="_Toc28505"/>
      <w:bookmarkStart w:id="241" w:name="_Toc31563"/>
      <w:bookmarkStart w:id="242" w:name="_Toc25262"/>
      <w:bookmarkStart w:id="243" w:name="_Toc16082"/>
      <w:bookmarkStart w:id="244" w:name="_Toc6913"/>
      <w:bookmarkStart w:id="245" w:name="_Toc22022"/>
      <w:bookmarkStart w:id="246" w:name="_Toc23580"/>
      <w:bookmarkStart w:id="247" w:name="_Toc5914"/>
      <w:r>
        <w:rPr>
          <w:rFonts w:hint="eastAsia" w:cs="宋体"/>
          <w:b/>
          <w:kern w:val="2"/>
          <w:szCs w:val="24"/>
        </w:rPr>
        <w:t>7.2组织机构</w:t>
      </w:r>
      <w:bookmarkEnd w:id="240"/>
      <w:bookmarkEnd w:id="241"/>
      <w:bookmarkEnd w:id="242"/>
      <w:bookmarkEnd w:id="243"/>
      <w:bookmarkEnd w:id="244"/>
      <w:bookmarkEnd w:id="245"/>
      <w:bookmarkEnd w:id="246"/>
      <w:bookmarkEnd w:id="247"/>
    </w:p>
    <w:p w14:paraId="144C5F76">
      <w:pPr>
        <w:spacing w:line="360" w:lineRule="auto"/>
        <w:ind w:firstLine="480"/>
        <w:jc w:val="left"/>
        <w:rPr>
          <w:rFonts w:cs="宋体"/>
          <w:bCs/>
          <w:kern w:val="2"/>
          <w:szCs w:val="24"/>
        </w:rPr>
      </w:pPr>
      <w:r>
        <w:rPr>
          <w:rFonts w:hint="eastAsia" w:cs="宋体"/>
          <w:bCs/>
          <w:kern w:val="2"/>
          <w:szCs w:val="24"/>
        </w:rPr>
        <w:t>用来登记用户部门的基本信息，包括上级机构、部门名称、机构编码，部门名称等。</w:t>
      </w:r>
    </w:p>
    <w:p w14:paraId="50F6DE73">
      <w:pPr>
        <w:spacing w:line="360" w:lineRule="auto"/>
        <w:ind w:firstLine="482"/>
        <w:outlineLvl w:val="3"/>
        <w:rPr>
          <w:rFonts w:cs="宋体"/>
          <w:bCs/>
          <w:kern w:val="2"/>
          <w:szCs w:val="24"/>
        </w:rPr>
      </w:pPr>
      <w:bookmarkStart w:id="248" w:name="_Toc14228"/>
      <w:bookmarkStart w:id="249" w:name="_Toc27332"/>
      <w:bookmarkStart w:id="250" w:name="_Toc795"/>
      <w:bookmarkStart w:id="251" w:name="_Toc32477"/>
      <w:bookmarkStart w:id="252" w:name="_Toc31658"/>
      <w:bookmarkStart w:id="253" w:name="_Toc12255"/>
      <w:bookmarkStart w:id="254" w:name="_Toc13231"/>
      <w:bookmarkStart w:id="255" w:name="_Toc26064"/>
      <w:r>
        <w:rPr>
          <w:rFonts w:hint="eastAsia" w:cs="宋体"/>
          <w:b/>
          <w:kern w:val="2"/>
          <w:szCs w:val="24"/>
        </w:rPr>
        <w:t>7.3用户管理</w:t>
      </w:r>
      <w:bookmarkEnd w:id="248"/>
      <w:bookmarkEnd w:id="249"/>
      <w:bookmarkEnd w:id="250"/>
      <w:bookmarkEnd w:id="251"/>
      <w:bookmarkEnd w:id="252"/>
      <w:bookmarkEnd w:id="253"/>
      <w:bookmarkEnd w:id="254"/>
      <w:bookmarkEnd w:id="255"/>
    </w:p>
    <w:p w14:paraId="29C0BE8A">
      <w:pPr>
        <w:spacing w:line="360" w:lineRule="auto"/>
        <w:ind w:firstLine="480"/>
        <w:jc w:val="left"/>
        <w:rPr>
          <w:rFonts w:cs="宋体"/>
          <w:bCs/>
          <w:kern w:val="2"/>
          <w:szCs w:val="24"/>
        </w:rPr>
      </w:pPr>
      <w:r>
        <w:rPr>
          <w:rFonts w:hint="eastAsia" w:cs="宋体"/>
          <w:bCs/>
          <w:kern w:val="2"/>
          <w:szCs w:val="24"/>
        </w:rPr>
        <w:t>系统对用户进行密码复杂度校验，防止用户使用弱密码。定期提醒更换密码，长时间不定路可自动退出，登陆后跟踪功能可记录到日志。</w:t>
      </w:r>
    </w:p>
    <w:p w14:paraId="625A8906">
      <w:pPr>
        <w:spacing w:line="360" w:lineRule="auto"/>
        <w:ind w:firstLine="480"/>
        <w:jc w:val="left"/>
        <w:rPr>
          <w:rFonts w:cs="宋体"/>
          <w:bCs/>
          <w:kern w:val="2"/>
          <w:szCs w:val="24"/>
        </w:rPr>
      </w:pPr>
      <w:r>
        <w:rPr>
          <w:rFonts w:hint="eastAsia" w:cs="宋体"/>
          <w:bCs/>
          <w:kern w:val="2"/>
          <w:szCs w:val="24"/>
        </w:rPr>
        <w:t>系统可根据用户对数据的不同要求，将用户分成若干个角色，不同的角色具有不同的权限，服务器根据每个角色所具有的权限开放相关的信息通道供登录用户查询和操作。</w:t>
      </w:r>
    </w:p>
    <w:p w14:paraId="4647A3AA">
      <w:pPr>
        <w:spacing w:line="360" w:lineRule="auto"/>
        <w:ind w:firstLine="480"/>
        <w:rPr>
          <w:rFonts w:cs="宋体"/>
          <w:b/>
          <w:kern w:val="2"/>
          <w:szCs w:val="24"/>
        </w:rPr>
      </w:pPr>
      <w:bookmarkStart w:id="256" w:name="_Toc19966"/>
      <w:r>
        <w:rPr>
          <w:rFonts w:hint="eastAsia" w:cs="宋体"/>
          <w:bCs/>
          <w:kern w:val="2"/>
          <w:szCs w:val="24"/>
        </w:rPr>
        <w:t>系统应采用统一的用户验证与授权，对于用户而言，只需要一个用户身份和密码，就可以根据权限访问到不同的应用模块。</w:t>
      </w:r>
      <w:bookmarkEnd w:id="256"/>
      <w:bookmarkStart w:id="257" w:name="_Toc17545"/>
    </w:p>
    <w:p w14:paraId="455E8D98">
      <w:pPr>
        <w:spacing w:line="360" w:lineRule="auto"/>
        <w:ind w:firstLine="482"/>
        <w:outlineLvl w:val="3"/>
        <w:rPr>
          <w:rFonts w:cs="宋体"/>
          <w:bCs/>
          <w:kern w:val="2"/>
          <w:szCs w:val="24"/>
        </w:rPr>
      </w:pPr>
      <w:bookmarkStart w:id="258" w:name="_Toc25606"/>
      <w:bookmarkStart w:id="259" w:name="_Toc30395"/>
      <w:bookmarkStart w:id="260" w:name="_Toc31126"/>
      <w:bookmarkStart w:id="261" w:name="_Toc4401"/>
      <w:bookmarkStart w:id="262" w:name="_Toc27942"/>
      <w:bookmarkStart w:id="263" w:name="_Toc9421"/>
      <w:bookmarkStart w:id="264" w:name="_Toc18"/>
      <w:r>
        <w:rPr>
          <w:rFonts w:hint="eastAsia" w:cs="宋体"/>
          <w:b/>
          <w:kern w:val="2"/>
          <w:szCs w:val="24"/>
        </w:rPr>
        <w:t>7.4配置管理</w:t>
      </w:r>
      <w:bookmarkEnd w:id="257"/>
      <w:bookmarkEnd w:id="258"/>
      <w:bookmarkEnd w:id="259"/>
      <w:bookmarkEnd w:id="260"/>
      <w:bookmarkEnd w:id="261"/>
      <w:bookmarkEnd w:id="262"/>
      <w:bookmarkEnd w:id="263"/>
      <w:bookmarkEnd w:id="264"/>
    </w:p>
    <w:p w14:paraId="576ADC14">
      <w:pPr>
        <w:spacing w:line="360" w:lineRule="auto"/>
        <w:ind w:firstLine="480"/>
        <w:jc w:val="left"/>
        <w:rPr>
          <w:rFonts w:cs="宋体"/>
          <w:bCs/>
          <w:kern w:val="2"/>
          <w:szCs w:val="24"/>
        </w:rPr>
      </w:pPr>
      <w:r>
        <w:rPr>
          <w:rFonts w:hint="eastAsia" w:cs="宋体"/>
          <w:bCs/>
          <w:kern w:val="2"/>
          <w:szCs w:val="24"/>
        </w:rPr>
        <w:t>设备管理系统配置管理包括工作流定义、表单设计、数据字典，配置项，定时计划，自定义数据，附件管理，数据采集，报表管理。其中表单设计包括了单据设计、子表设计、列表设计、事件编辑、同步配置等功能。</w:t>
      </w:r>
    </w:p>
    <w:p w14:paraId="3989DFA1">
      <w:pPr>
        <w:spacing w:line="360" w:lineRule="auto"/>
        <w:ind w:firstLine="482"/>
        <w:outlineLvl w:val="3"/>
        <w:rPr>
          <w:rFonts w:cs="宋体"/>
          <w:bCs/>
          <w:kern w:val="2"/>
          <w:szCs w:val="24"/>
        </w:rPr>
      </w:pPr>
      <w:bookmarkStart w:id="265" w:name="_Toc24244"/>
      <w:bookmarkStart w:id="266" w:name="_Toc21439"/>
      <w:bookmarkStart w:id="267" w:name="_Toc7835"/>
      <w:bookmarkStart w:id="268" w:name="_Toc4992"/>
      <w:bookmarkStart w:id="269" w:name="_Toc8173"/>
      <w:bookmarkStart w:id="270" w:name="_Toc31750"/>
      <w:bookmarkStart w:id="271" w:name="_Toc14076"/>
      <w:bookmarkStart w:id="272" w:name="_Toc8757"/>
      <w:r>
        <w:rPr>
          <w:rFonts w:hint="eastAsia" w:cs="宋体"/>
          <w:b/>
          <w:kern w:val="2"/>
          <w:szCs w:val="24"/>
        </w:rPr>
        <w:t>7.5工作流管理</w:t>
      </w:r>
      <w:bookmarkEnd w:id="265"/>
      <w:bookmarkEnd w:id="266"/>
      <w:bookmarkEnd w:id="267"/>
      <w:bookmarkEnd w:id="268"/>
      <w:bookmarkEnd w:id="269"/>
      <w:bookmarkEnd w:id="270"/>
      <w:bookmarkEnd w:id="271"/>
      <w:bookmarkEnd w:id="272"/>
    </w:p>
    <w:p w14:paraId="795500B2">
      <w:pPr>
        <w:spacing w:line="360" w:lineRule="auto"/>
        <w:ind w:firstLine="480"/>
        <w:jc w:val="left"/>
        <w:rPr>
          <w:rFonts w:cs="宋体"/>
          <w:bCs/>
          <w:kern w:val="2"/>
          <w:szCs w:val="24"/>
        </w:rPr>
      </w:pPr>
      <w:r>
        <w:rPr>
          <w:rFonts w:hint="eastAsia" w:cs="宋体"/>
          <w:bCs/>
          <w:kern w:val="2"/>
          <w:szCs w:val="24"/>
        </w:rPr>
        <w:t>设备管理紧密集成工作流，业务表单可挂接工作流实例，流程节点可任意设定，流转条件可配置。</w:t>
      </w:r>
    </w:p>
    <w:p w14:paraId="4D08AB5E">
      <w:pPr>
        <w:spacing w:line="360" w:lineRule="auto"/>
        <w:ind w:firstLine="480"/>
        <w:jc w:val="left"/>
        <w:rPr>
          <w:rFonts w:cs="宋体"/>
          <w:bCs/>
          <w:kern w:val="2"/>
          <w:szCs w:val="24"/>
        </w:rPr>
      </w:pPr>
      <w:r>
        <w:rPr>
          <w:rFonts w:hint="eastAsia" w:cs="宋体"/>
          <w:bCs/>
          <w:kern w:val="2"/>
          <w:szCs w:val="24"/>
        </w:rPr>
        <w:t>具备可视化流程绘制功能，系统需要提供图形化的工作流绘制页面，实现流程的快速绘制，并提供验证功能检查绘制的工作流是否正确。</w:t>
      </w:r>
    </w:p>
    <w:p w14:paraId="60A314FB">
      <w:pPr>
        <w:spacing w:line="360" w:lineRule="auto"/>
        <w:ind w:firstLine="480"/>
        <w:jc w:val="left"/>
        <w:rPr>
          <w:rFonts w:cs="Arial"/>
          <w:szCs w:val="24"/>
        </w:rPr>
      </w:pPr>
      <w:r>
        <w:rPr>
          <w:rFonts w:hint="eastAsia"/>
          <w:szCs w:val="24"/>
        </w:rPr>
        <w:t>支持流程节点灵活配置，支持每个流程节点</w:t>
      </w:r>
      <w:r>
        <w:rPr>
          <w:rFonts w:hint="eastAsia" w:cs="Arial"/>
          <w:szCs w:val="24"/>
        </w:rPr>
        <w:t>配置当前节点处理人员，人员选择至少支持从组织架构、流程信息、自定义公式三种配置模式。</w:t>
      </w:r>
    </w:p>
    <w:p w14:paraId="6B68C73C">
      <w:pPr>
        <w:spacing w:line="360" w:lineRule="auto"/>
        <w:ind w:firstLine="480"/>
        <w:jc w:val="left"/>
        <w:rPr>
          <w:rFonts w:cs="Arial"/>
          <w:szCs w:val="24"/>
        </w:rPr>
      </w:pPr>
      <w:r>
        <w:rPr>
          <w:rFonts w:hint="eastAsia" w:cs="Arial"/>
          <w:szCs w:val="24"/>
        </w:rPr>
        <w:t>提供丰富的流程操作功能，至少支持审批通过、回退到提交人、回退到某个具体节点、追回、挂起、解除挂起、直接结束、允许派生处理人等操作，保证当前节点所有人处理后流程才继续推动等多种处理方式；并提支持主子流程、业务关联、权限控制、流程预置、流程多版本等管理场景。</w:t>
      </w:r>
    </w:p>
    <w:p w14:paraId="2DB031C6">
      <w:pPr>
        <w:spacing w:line="360" w:lineRule="auto"/>
        <w:ind w:firstLine="480"/>
        <w:jc w:val="left"/>
        <w:rPr>
          <w:rFonts w:cs="宋体"/>
          <w:bCs/>
          <w:kern w:val="2"/>
          <w:szCs w:val="24"/>
        </w:rPr>
      </w:pPr>
      <w:r>
        <w:rPr>
          <w:rFonts w:hint="eastAsia" w:cs="Arial"/>
          <w:szCs w:val="24"/>
        </w:rPr>
        <w:t>支持流程绩效管理，</w:t>
      </w:r>
      <w:r>
        <w:rPr>
          <w:rFonts w:hint="eastAsia"/>
          <w:szCs w:val="24"/>
        </w:rPr>
        <w:t>业务流程管理平台需提供流程绩效的实时统计功能，可以统计各部门员工流程处理数、每个流程节点的处理时间，任务的处理率、任务的及时率、任务的回退率，通过这些流程统计数据的分析、挖掘，发现管理的问题，持续完善流程，提升整体的绩效。</w:t>
      </w:r>
    </w:p>
    <w:p w14:paraId="5B723ED6">
      <w:pPr>
        <w:spacing w:line="360" w:lineRule="auto"/>
        <w:ind w:firstLine="482"/>
        <w:outlineLvl w:val="3"/>
        <w:rPr>
          <w:rFonts w:cs="宋体"/>
          <w:bCs/>
          <w:kern w:val="2"/>
          <w:szCs w:val="24"/>
        </w:rPr>
      </w:pPr>
      <w:bookmarkStart w:id="273" w:name="_Toc23989"/>
      <w:bookmarkStart w:id="274" w:name="_Toc28819"/>
      <w:bookmarkStart w:id="275" w:name="_Toc30574"/>
      <w:bookmarkStart w:id="276" w:name="_Toc15632"/>
      <w:bookmarkStart w:id="277" w:name="_Toc25604"/>
      <w:bookmarkStart w:id="278" w:name="_Toc11062"/>
      <w:bookmarkStart w:id="279" w:name="_Toc12211"/>
      <w:bookmarkStart w:id="280" w:name="_Toc8175"/>
      <w:r>
        <w:rPr>
          <w:rFonts w:hint="eastAsia" w:cs="宋体"/>
          <w:b/>
          <w:kern w:val="2"/>
          <w:szCs w:val="24"/>
        </w:rPr>
        <w:t>7.7数据的导入、导出</w:t>
      </w:r>
      <w:bookmarkEnd w:id="273"/>
      <w:bookmarkEnd w:id="274"/>
      <w:bookmarkEnd w:id="275"/>
      <w:bookmarkEnd w:id="276"/>
      <w:bookmarkEnd w:id="277"/>
      <w:bookmarkEnd w:id="278"/>
      <w:bookmarkEnd w:id="279"/>
      <w:bookmarkEnd w:id="280"/>
    </w:p>
    <w:p w14:paraId="48E183A4">
      <w:pPr>
        <w:spacing w:line="360" w:lineRule="auto"/>
        <w:ind w:firstLine="480"/>
        <w:jc w:val="left"/>
        <w:rPr>
          <w:rFonts w:cs="宋体"/>
          <w:bCs/>
          <w:kern w:val="2"/>
          <w:szCs w:val="24"/>
        </w:rPr>
      </w:pPr>
      <w:r>
        <w:rPr>
          <w:rFonts w:hint="eastAsia" w:cs="宋体"/>
          <w:bCs/>
          <w:kern w:val="2"/>
          <w:szCs w:val="24"/>
        </w:rPr>
        <w:t>数据导入方便灵活，易于掌握，主要业务可与EXCEL进行数据的自由导入和导出；功能结构清晰，易于操作；</w:t>
      </w:r>
    </w:p>
    <w:p w14:paraId="0E83F3A3">
      <w:pPr>
        <w:spacing w:line="360" w:lineRule="auto"/>
        <w:ind w:firstLine="482"/>
        <w:outlineLvl w:val="3"/>
        <w:rPr>
          <w:rFonts w:cs="宋体"/>
          <w:bCs/>
          <w:kern w:val="2"/>
          <w:szCs w:val="24"/>
        </w:rPr>
      </w:pPr>
      <w:bookmarkStart w:id="281" w:name="_Toc5999"/>
      <w:bookmarkStart w:id="282" w:name="_Toc23555"/>
      <w:bookmarkStart w:id="283" w:name="_Toc2283"/>
      <w:bookmarkStart w:id="284" w:name="_Toc28099"/>
      <w:bookmarkStart w:id="285" w:name="_Toc17567"/>
      <w:bookmarkStart w:id="286" w:name="_Toc17087"/>
      <w:bookmarkStart w:id="287" w:name="_Toc20440"/>
      <w:bookmarkStart w:id="288" w:name="_Toc14312"/>
      <w:r>
        <w:rPr>
          <w:rFonts w:hint="eastAsia" w:cs="宋体"/>
          <w:b/>
          <w:kern w:val="2"/>
          <w:szCs w:val="24"/>
        </w:rPr>
        <w:t>7.8日志管理</w:t>
      </w:r>
      <w:bookmarkEnd w:id="281"/>
      <w:bookmarkEnd w:id="282"/>
      <w:bookmarkEnd w:id="283"/>
      <w:bookmarkEnd w:id="284"/>
      <w:bookmarkEnd w:id="285"/>
      <w:bookmarkEnd w:id="286"/>
      <w:bookmarkEnd w:id="287"/>
      <w:bookmarkEnd w:id="288"/>
    </w:p>
    <w:p w14:paraId="77266B82">
      <w:pPr>
        <w:widowControl/>
        <w:spacing w:line="360" w:lineRule="auto"/>
        <w:ind w:firstLine="480"/>
        <w:jc w:val="left"/>
        <w:rPr>
          <w:rFonts w:cs="宋体"/>
          <w:bCs/>
          <w:kern w:val="2"/>
          <w:szCs w:val="24"/>
        </w:rPr>
      </w:pPr>
      <w:r>
        <w:rPr>
          <w:rFonts w:cs="宋体"/>
          <w:bCs/>
          <w:kern w:val="2"/>
          <w:szCs w:val="24"/>
        </w:rPr>
        <w:t>日志管理模块，记录用户的操作信息及系统异常信息，并支持对异常信息进行筛选，方便定位问题。</w:t>
      </w:r>
    </w:p>
    <w:p w14:paraId="17F75C61">
      <w:pPr>
        <w:spacing w:line="360" w:lineRule="auto"/>
        <w:ind w:firstLine="482"/>
        <w:jc w:val="left"/>
        <w:outlineLvl w:val="2"/>
        <w:rPr>
          <w:rFonts w:cs="宋体"/>
          <w:b/>
          <w:kern w:val="2"/>
          <w:szCs w:val="24"/>
        </w:rPr>
      </w:pPr>
      <w:bookmarkStart w:id="289" w:name="_Toc5285"/>
      <w:bookmarkStart w:id="290" w:name="_Toc20723"/>
      <w:bookmarkStart w:id="291" w:name="_Toc13636"/>
      <w:bookmarkStart w:id="292" w:name="_Toc22386"/>
      <w:bookmarkStart w:id="293" w:name="_Toc25421"/>
      <w:bookmarkStart w:id="294" w:name="_Toc12621"/>
      <w:bookmarkStart w:id="295" w:name="_Toc4832"/>
      <w:r>
        <w:rPr>
          <w:rFonts w:hint="eastAsia" w:cs="宋体"/>
          <w:b/>
          <w:kern w:val="2"/>
          <w:szCs w:val="24"/>
        </w:rPr>
        <w:t>8.数据分析</w:t>
      </w:r>
      <w:bookmarkEnd w:id="289"/>
    </w:p>
    <w:p w14:paraId="079FBC59">
      <w:pPr>
        <w:widowControl/>
        <w:spacing w:line="360" w:lineRule="auto"/>
        <w:ind w:firstLine="480"/>
        <w:jc w:val="left"/>
        <w:rPr>
          <w:rFonts w:cs="宋体"/>
          <w:bCs/>
          <w:kern w:val="2"/>
          <w:szCs w:val="24"/>
        </w:rPr>
      </w:pPr>
      <w:r>
        <w:rPr>
          <w:rFonts w:hint="eastAsia" w:cs="宋体"/>
          <w:bCs/>
          <w:kern w:val="2"/>
          <w:szCs w:val="24"/>
        </w:rPr>
        <w:t>支持对核心设备整体画像分析（了解资产状态、关注资产风险、知道资产分布）</w:t>
      </w:r>
    </w:p>
    <w:p w14:paraId="16096446">
      <w:pPr>
        <w:widowControl/>
        <w:spacing w:line="360" w:lineRule="auto"/>
        <w:ind w:firstLine="480"/>
        <w:jc w:val="left"/>
        <w:rPr>
          <w:rFonts w:cs="宋体"/>
          <w:bCs/>
          <w:kern w:val="2"/>
          <w:szCs w:val="24"/>
        </w:rPr>
      </w:pPr>
      <w:r>
        <w:rPr>
          <w:rFonts w:hint="eastAsia" w:cs="宋体"/>
          <w:bCs/>
          <w:kern w:val="2"/>
          <w:szCs w:val="24"/>
        </w:rPr>
        <w:t>支持对单项设备画像分析（</w:t>
      </w:r>
      <w:r>
        <w:rPr>
          <w:rFonts w:cs="宋体"/>
          <w:bCs/>
          <w:kern w:val="2"/>
          <w:szCs w:val="24"/>
        </w:rPr>
        <w:t>履历变动时间轴</w:t>
      </w:r>
      <w:r>
        <w:rPr>
          <w:rFonts w:hint="eastAsia" w:cs="宋体"/>
          <w:bCs/>
          <w:kern w:val="2"/>
          <w:szCs w:val="24"/>
        </w:rPr>
        <w:t>、关键指标变化、风险问题事件）</w:t>
      </w:r>
    </w:p>
    <w:p w14:paraId="01587EEA">
      <w:pPr>
        <w:widowControl/>
        <w:spacing w:line="360" w:lineRule="auto"/>
        <w:ind w:firstLine="480"/>
        <w:jc w:val="left"/>
        <w:rPr>
          <w:rFonts w:cs="宋体"/>
          <w:bCs/>
          <w:kern w:val="2"/>
          <w:szCs w:val="24"/>
        </w:rPr>
      </w:pPr>
      <w:r>
        <w:rPr>
          <w:rFonts w:hint="eastAsia" w:cs="宋体"/>
          <w:bCs/>
          <w:kern w:val="2"/>
          <w:szCs w:val="24"/>
        </w:rPr>
        <w:t>支持对运行绩效分析（停开机事件日历、利用率、可开动率、停机率、点巡检执行准时率、巡检执行率）</w:t>
      </w:r>
    </w:p>
    <w:p w14:paraId="3B09944D">
      <w:pPr>
        <w:widowControl/>
        <w:spacing w:line="360" w:lineRule="auto"/>
        <w:ind w:firstLine="480"/>
        <w:jc w:val="left"/>
        <w:rPr>
          <w:rFonts w:cs="宋体"/>
          <w:bCs/>
          <w:kern w:val="2"/>
          <w:szCs w:val="24"/>
        </w:rPr>
      </w:pPr>
      <w:r>
        <w:rPr>
          <w:rFonts w:hint="eastAsia" w:cs="宋体"/>
          <w:bCs/>
          <w:kern w:val="2"/>
          <w:szCs w:val="24"/>
        </w:rPr>
        <w:t>设备故障分析（故障日历、紧急抢修分析、故障停机查询）</w:t>
      </w:r>
    </w:p>
    <w:p w14:paraId="798B17C6">
      <w:pPr>
        <w:widowControl/>
        <w:spacing w:line="360" w:lineRule="auto"/>
        <w:ind w:firstLine="480"/>
        <w:jc w:val="left"/>
        <w:rPr>
          <w:rFonts w:cs="宋体"/>
          <w:bCs/>
          <w:kern w:val="2"/>
          <w:szCs w:val="24"/>
        </w:rPr>
      </w:pPr>
      <w:r>
        <w:rPr>
          <w:rFonts w:hint="eastAsia" w:cs="宋体"/>
          <w:bCs/>
          <w:kern w:val="2"/>
          <w:szCs w:val="24"/>
        </w:rPr>
        <w:t>设备维修绩效分析（工单返修率、工单延期情况统计、故障响应及时率）</w:t>
      </w:r>
    </w:p>
    <w:p w14:paraId="681C0F5F">
      <w:pPr>
        <w:widowControl/>
        <w:spacing w:line="360" w:lineRule="auto"/>
        <w:ind w:firstLine="480"/>
        <w:jc w:val="left"/>
        <w:rPr>
          <w:rFonts w:cs="宋体"/>
          <w:bCs/>
          <w:kern w:val="2"/>
          <w:szCs w:val="24"/>
        </w:rPr>
      </w:pPr>
      <w:r>
        <w:rPr>
          <w:rFonts w:hint="eastAsia" w:cs="宋体"/>
          <w:bCs/>
          <w:kern w:val="2"/>
          <w:szCs w:val="24"/>
        </w:rPr>
        <w:t>设备管理看板（包含：资产、绩效、安全、运维）</w:t>
      </w:r>
    </w:p>
    <w:p w14:paraId="1786A6E0">
      <w:pPr>
        <w:spacing w:line="360" w:lineRule="auto"/>
        <w:ind w:firstLine="482"/>
        <w:outlineLvl w:val="3"/>
      </w:pPr>
      <w:bookmarkStart w:id="296" w:name="_Toc126154878"/>
      <w:bookmarkStart w:id="297" w:name="_Toc25405"/>
      <w:r>
        <w:rPr>
          <w:rFonts w:hint="eastAsia" w:cs="宋体"/>
          <w:b/>
          <w:kern w:val="2"/>
          <w:szCs w:val="24"/>
        </w:rPr>
        <w:t>8.1数据工厂</w:t>
      </w:r>
      <w:bookmarkEnd w:id="296"/>
      <w:bookmarkEnd w:id="297"/>
    </w:p>
    <w:p w14:paraId="23BCA06A">
      <w:pPr>
        <w:widowControl/>
        <w:spacing w:line="360" w:lineRule="auto"/>
        <w:ind w:firstLine="482"/>
        <w:jc w:val="left"/>
        <w:rPr>
          <w:rFonts w:cs="宋体"/>
          <w:b/>
          <w:bCs/>
        </w:rPr>
      </w:pPr>
      <w:r>
        <w:rPr>
          <w:rFonts w:hint="eastAsia" w:cs="宋体"/>
          <w:b/>
          <w:bCs/>
        </w:rPr>
        <w:t>基础数据</w:t>
      </w:r>
    </w:p>
    <w:p w14:paraId="1662CF76">
      <w:pPr>
        <w:widowControl/>
        <w:spacing w:line="360" w:lineRule="auto"/>
        <w:ind w:firstLine="480"/>
        <w:jc w:val="left"/>
        <w:rPr>
          <w:rFonts w:cs="宋体"/>
        </w:rPr>
      </w:pPr>
      <w:r>
        <w:rPr>
          <w:rFonts w:hint="eastAsia" w:cs="宋体"/>
        </w:rPr>
        <w:t>支持基础档案</w:t>
      </w:r>
      <w:r>
        <w:rPr>
          <w:rFonts w:cs="宋体"/>
        </w:rPr>
        <w:t>（</w:t>
      </w:r>
      <w:r>
        <w:rPr>
          <w:rFonts w:hint="eastAsia" w:cs="宋体"/>
        </w:rPr>
        <w:t>维度</w:t>
      </w:r>
      <w:r>
        <w:rPr>
          <w:rFonts w:cs="宋体"/>
        </w:rPr>
        <w:t>）</w:t>
      </w:r>
      <w:r>
        <w:rPr>
          <w:rFonts w:hint="eastAsia" w:cs="宋体"/>
        </w:rPr>
        <w:t>的标准数据分析结构定义和维护</w:t>
      </w:r>
    </w:p>
    <w:p w14:paraId="67BDAA3F">
      <w:pPr>
        <w:widowControl/>
        <w:spacing w:line="360" w:lineRule="auto"/>
        <w:ind w:firstLine="480"/>
        <w:jc w:val="left"/>
        <w:rPr>
          <w:rFonts w:cs="宋体"/>
        </w:rPr>
      </w:pPr>
      <w:r>
        <w:rPr>
          <w:rFonts w:hint="eastAsia" w:cs="宋体"/>
        </w:rPr>
        <w:t>支持基础单据</w:t>
      </w:r>
      <w:r>
        <w:rPr>
          <w:rFonts w:cs="宋体"/>
        </w:rPr>
        <w:t>（</w:t>
      </w:r>
      <w:r>
        <w:rPr>
          <w:rFonts w:hint="eastAsia" w:cs="宋体"/>
        </w:rPr>
        <w:t>事实表</w:t>
      </w:r>
      <w:r>
        <w:rPr>
          <w:rFonts w:cs="宋体"/>
        </w:rPr>
        <w:t>）</w:t>
      </w:r>
      <w:r>
        <w:rPr>
          <w:rFonts w:hint="eastAsia" w:cs="宋体"/>
        </w:rPr>
        <w:t>的标准数据分析结构定义和维护</w:t>
      </w:r>
    </w:p>
    <w:p w14:paraId="72391E8E">
      <w:pPr>
        <w:widowControl/>
        <w:spacing w:line="360" w:lineRule="auto"/>
        <w:ind w:firstLine="482"/>
        <w:jc w:val="left"/>
        <w:rPr>
          <w:rFonts w:cs="宋体"/>
        </w:rPr>
      </w:pPr>
      <w:r>
        <w:rPr>
          <w:rFonts w:hint="eastAsia" w:cs="宋体"/>
          <w:b/>
          <w:bCs/>
        </w:rPr>
        <w:t>Excel填报</w:t>
      </w:r>
    </w:p>
    <w:p w14:paraId="14562E77">
      <w:pPr>
        <w:widowControl/>
        <w:spacing w:line="360" w:lineRule="auto"/>
        <w:ind w:firstLine="480"/>
        <w:jc w:val="left"/>
        <w:rPr>
          <w:rFonts w:cs="宋体"/>
        </w:rPr>
      </w:pPr>
      <w:r>
        <w:rPr>
          <w:rFonts w:hint="eastAsia" w:cs="宋体"/>
        </w:rPr>
        <w:t>重要的系统外数据补充</w:t>
      </w:r>
      <w:r>
        <w:rPr>
          <w:rFonts w:cs="宋体"/>
        </w:rPr>
        <w:t>，</w:t>
      </w:r>
      <w:r>
        <w:rPr>
          <w:rFonts w:hint="eastAsia" w:cs="宋体"/>
        </w:rPr>
        <w:t>主要针对外部手工统计报表导入</w:t>
      </w:r>
      <w:r>
        <w:rPr>
          <w:rFonts w:cs="宋体"/>
        </w:rPr>
        <w:t>，</w:t>
      </w:r>
      <w:r>
        <w:rPr>
          <w:rFonts w:hint="eastAsia" w:cs="宋体"/>
        </w:rPr>
        <w:t>可以与系统内数据集成进行统一数据分析</w:t>
      </w:r>
    </w:p>
    <w:p w14:paraId="49414EE4">
      <w:pPr>
        <w:widowControl/>
        <w:spacing w:line="360" w:lineRule="auto"/>
        <w:ind w:firstLine="480"/>
        <w:jc w:val="left"/>
        <w:rPr>
          <w:rFonts w:cs="宋体"/>
        </w:rPr>
      </w:pPr>
      <w:r>
        <w:rPr>
          <w:rFonts w:hint="eastAsia" w:cs="宋体"/>
        </w:rPr>
        <w:t>支持各类Excel统计模型的标准上报结构设计</w:t>
      </w:r>
    </w:p>
    <w:p w14:paraId="697C5B7D">
      <w:pPr>
        <w:widowControl/>
        <w:spacing w:line="360" w:lineRule="auto"/>
        <w:ind w:firstLine="480"/>
        <w:jc w:val="left"/>
        <w:rPr>
          <w:rFonts w:cs="宋体"/>
        </w:rPr>
      </w:pPr>
      <w:r>
        <w:rPr>
          <w:rFonts w:hint="eastAsia" w:cs="宋体"/>
        </w:rPr>
        <w:t>支持业务角色上报统计报表</w:t>
      </w:r>
    </w:p>
    <w:p w14:paraId="62CEC25E">
      <w:pPr>
        <w:widowControl/>
        <w:spacing w:line="360" w:lineRule="auto"/>
        <w:ind w:firstLine="482"/>
        <w:jc w:val="left"/>
        <w:rPr>
          <w:rFonts w:cs="宋体"/>
        </w:rPr>
      </w:pPr>
      <w:r>
        <w:rPr>
          <w:rFonts w:hint="eastAsia" w:cs="宋体"/>
          <w:b/>
          <w:bCs/>
        </w:rPr>
        <w:t>数据流</w:t>
      </w:r>
    </w:p>
    <w:p w14:paraId="310388EF">
      <w:pPr>
        <w:widowControl/>
        <w:spacing w:line="360" w:lineRule="auto"/>
        <w:ind w:firstLine="480"/>
        <w:jc w:val="left"/>
        <w:rPr>
          <w:rFonts w:cs="宋体"/>
        </w:rPr>
      </w:pPr>
      <w:r>
        <w:rPr>
          <w:rFonts w:hint="eastAsia" w:cs="宋体"/>
        </w:rPr>
        <w:t>包括低代码数据流</w:t>
      </w:r>
      <w:r>
        <w:rPr>
          <w:rFonts w:cs="宋体"/>
        </w:rPr>
        <w:t>、</w:t>
      </w:r>
      <w:r>
        <w:rPr>
          <w:rFonts w:hint="eastAsia" w:cs="宋体"/>
        </w:rPr>
        <w:t>协同数据流</w:t>
      </w:r>
      <w:r>
        <w:rPr>
          <w:rFonts w:cs="宋体"/>
        </w:rPr>
        <w:t>、</w:t>
      </w:r>
      <w:r>
        <w:rPr>
          <w:rFonts w:hint="eastAsia" w:cs="宋体"/>
        </w:rPr>
        <w:t>直连SQL</w:t>
      </w:r>
    </w:p>
    <w:p w14:paraId="6FA90B2B">
      <w:pPr>
        <w:widowControl/>
        <w:spacing w:line="360" w:lineRule="auto"/>
        <w:ind w:firstLine="480"/>
        <w:jc w:val="left"/>
        <w:rPr>
          <w:rFonts w:cs="宋体"/>
        </w:rPr>
      </w:pPr>
      <w:r>
        <w:rPr>
          <w:rFonts w:hint="eastAsia" w:cs="宋体"/>
        </w:rPr>
        <w:t>创建数据流支持单表输入</w:t>
      </w:r>
      <w:r>
        <w:rPr>
          <w:rFonts w:cs="宋体"/>
        </w:rPr>
        <w:t>、</w:t>
      </w:r>
      <w:r>
        <w:rPr>
          <w:rFonts w:hint="eastAsia" w:cs="宋体"/>
        </w:rPr>
        <w:t>SQL输入</w:t>
      </w:r>
      <w:r>
        <w:rPr>
          <w:rFonts w:cs="宋体"/>
        </w:rPr>
        <w:t>、</w:t>
      </w:r>
      <w:r>
        <w:rPr>
          <w:rFonts w:hint="eastAsia" w:cs="宋体"/>
        </w:rPr>
        <w:t>横向关联</w:t>
      </w:r>
      <w:r>
        <w:rPr>
          <w:rFonts w:cs="宋体"/>
        </w:rPr>
        <w:t>、</w:t>
      </w:r>
      <w:r>
        <w:rPr>
          <w:rFonts w:hint="eastAsia" w:cs="宋体"/>
        </w:rPr>
        <w:t>上下合并</w:t>
      </w:r>
      <w:r>
        <w:rPr>
          <w:rFonts w:cs="宋体"/>
        </w:rPr>
        <w:t>、</w:t>
      </w:r>
      <w:r>
        <w:rPr>
          <w:rFonts w:hint="eastAsia" w:cs="宋体"/>
        </w:rPr>
        <w:t>union all</w:t>
      </w:r>
      <w:r>
        <w:rPr>
          <w:rFonts w:cs="宋体"/>
        </w:rPr>
        <w:t>、</w:t>
      </w:r>
      <w:r>
        <w:rPr>
          <w:rFonts w:hint="eastAsia" w:cs="宋体"/>
        </w:rPr>
        <w:t>分组汇总</w:t>
      </w:r>
      <w:r>
        <w:rPr>
          <w:rFonts w:cs="宋体"/>
        </w:rPr>
        <w:t>、</w:t>
      </w:r>
      <w:r>
        <w:rPr>
          <w:rFonts w:hint="eastAsia" w:cs="宋体"/>
        </w:rPr>
        <w:t>数据筛选</w:t>
      </w:r>
      <w:r>
        <w:rPr>
          <w:rFonts w:cs="宋体"/>
        </w:rPr>
        <w:t>、</w:t>
      </w:r>
      <w:r>
        <w:rPr>
          <w:rFonts w:hint="eastAsia" w:cs="宋体"/>
        </w:rPr>
        <w:t>字段设置</w:t>
      </w:r>
      <w:r>
        <w:rPr>
          <w:rFonts w:cs="宋体"/>
        </w:rPr>
        <w:t>、</w:t>
      </w:r>
      <w:r>
        <w:rPr>
          <w:rFonts w:hint="eastAsia" w:cs="宋体"/>
        </w:rPr>
        <w:t>公式字段定义</w:t>
      </w:r>
      <w:r>
        <w:rPr>
          <w:rFonts w:cs="宋体"/>
        </w:rPr>
        <w:t>、</w:t>
      </w:r>
      <w:r>
        <w:rPr>
          <w:rFonts w:hint="eastAsia" w:cs="宋体"/>
        </w:rPr>
        <w:t>行转为列</w:t>
      </w:r>
      <w:r>
        <w:rPr>
          <w:rFonts w:cs="宋体"/>
        </w:rPr>
        <w:t>、</w:t>
      </w:r>
      <w:r>
        <w:rPr>
          <w:rFonts w:hint="eastAsia" w:cs="宋体"/>
        </w:rPr>
        <w:t>列转为行等功能</w:t>
      </w:r>
    </w:p>
    <w:p w14:paraId="431E625D">
      <w:pPr>
        <w:widowControl/>
        <w:spacing w:line="360" w:lineRule="auto"/>
        <w:ind w:firstLine="480"/>
        <w:jc w:val="left"/>
        <w:rPr>
          <w:rFonts w:cs="宋体"/>
        </w:rPr>
      </w:pPr>
      <w:r>
        <w:rPr>
          <w:rFonts w:hint="eastAsia" w:cs="宋体"/>
        </w:rPr>
        <w:t>支持</w:t>
      </w:r>
      <w:r>
        <w:rPr>
          <w:rFonts w:cs="宋体"/>
        </w:rPr>
        <w:t>输入参数、</w:t>
      </w:r>
      <w:r>
        <w:rPr>
          <w:rFonts w:hint="eastAsia" w:cs="宋体"/>
        </w:rPr>
        <w:t>定时</w:t>
      </w:r>
      <w:r>
        <w:rPr>
          <w:rFonts w:cs="宋体"/>
        </w:rPr>
        <w:t>数据更新、更新模型、预览数据</w:t>
      </w:r>
      <w:r>
        <w:rPr>
          <w:rFonts w:hint="eastAsia" w:cs="宋体"/>
        </w:rPr>
        <w:t>等数据流配置功能。</w:t>
      </w:r>
    </w:p>
    <w:p w14:paraId="7FB0596E">
      <w:pPr>
        <w:spacing w:line="360" w:lineRule="auto"/>
        <w:ind w:firstLine="482"/>
        <w:outlineLvl w:val="3"/>
        <w:rPr>
          <w:rFonts w:asciiTheme="minorEastAsia" w:hAnsiTheme="minorEastAsia" w:eastAsiaTheme="minorEastAsia"/>
          <w:b/>
          <w:bCs/>
          <w:szCs w:val="24"/>
        </w:rPr>
      </w:pPr>
      <w:bookmarkStart w:id="298" w:name="_Toc126154880"/>
      <w:bookmarkStart w:id="299" w:name="_Toc16103"/>
      <w:r>
        <w:rPr>
          <w:rFonts w:hint="eastAsia" w:asciiTheme="minorEastAsia" w:hAnsiTheme="minorEastAsia" w:eastAsiaTheme="minorEastAsia"/>
          <w:b/>
          <w:bCs/>
          <w:szCs w:val="24"/>
        </w:rPr>
        <w:t>8.2语义建模</w:t>
      </w:r>
      <w:bookmarkEnd w:id="298"/>
      <w:bookmarkEnd w:id="299"/>
    </w:p>
    <w:p w14:paraId="2B63D463">
      <w:pPr>
        <w:widowControl/>
        <w:spacing w:line="360" w:lineRule="auto"/>
        <w:ind w:firstLine="480"/>
        <w:jc w:val="left"/>
      </w:pPr>
      <w:r>
        <w:rPr>
          <w:rFonts w:hint="eastAsia" w:cs="宋体"/>
        </w:rPr>
        <w:t>实现</w:t>
      </w:r>
      <w:r>
        <w:rPr>
          <w:rFonts w:cs="宋体"/>
        </w:rPr>
        <w:t>数据源中度量、维度的关系模型。</w:t>
      </w:r>
      <w:r>
        <w:rPr>
          <w:rFonts w:hint="eastAsia" w:cs="宋体"/>
        </w:rPr>
        <w:t>需支持</w:t>
      </w:r>
      <w:r>
        <w:rPr>
          <w:rFonts w:cs="宋体"/>
        </w:rPr>
        <w:t>设计出丰富的业务模型，以便终端客户根据设计出的业务模型定制出灵活多样的个性化报表。</w:t>
      </w:r>
    </w:p>
    <w:p w14:paraId="2FD7A485">
      <w:pPr>
        <w:pStyle w:val="61"/>
        <w:spacing w:before="0" w:line="276" w:lineRule="auto"/>
        <w:ind w:left="0"/>
        <w:jc w:val="both"/>
      </w:pPr>
      <w:r>
        <w:rPr>
          <w:rFonts w:asciiTheme="minorEastAsia" w:hAnsiTheme="minorEastAsia" w:eastAsiaTheme="minorEastAsia"/>
          <w:sz w:val="24"/>
          <w:szCs w:val="24"/>
        </w:rPr>
        <w:object>
          <v:shape id="_x0000_i1030" o:spt="75" type="#_x0000_t75" style="height:132pt;width:416.35pt;" o:ole="t" filled="f" o:preferrelative="t" stroked="f" coordsize="21600,21600">
            <v:path/>
            <v:fill on="f" focussize="0,0"/>
            <v:stroke on="f" joinstyle="miter"/>
            <v:imagedata r:id="rId26" o:title=""/>
            <o:lock v:ext="edit" aspectratio="t"/>
            <w10:wrap type="none"/>
            <w10:anchorlock/>
          </v:shape>
          <o:OLEObject Type="Embed" ProgID="Visio.Drawing.15" ShapeID="_x0000_i1030" DrawAspect="Content" ObjectID="_1468075730" r:id="rId25">
            <o:LockedField>false</o:LockedField>
          </o:OLEObject>
        </w:object>
      </w:r>
    </w:p>
    <w:p w14:paraId="7ECF51E3">
      <w:pPr>
        <w:spacing w:line="360" w:lineRule="auto"/>
        <w:ind w:firstLine="482"/>
        <w:outlineLvl w:val="3"/>
        <w:rPr>
          <w:rFonts w:asciiTheme="minorEastAsia" w:hAnsiTheme="minorEastAsia" w:eastAsiaTheme="minorEastAsia"/>
          <w:b/>
          <w:bCs/>
          <w:szCs w:val="24"/>
        </w:rPr>
      </w:pPr>
      <w:bookmarkStart w:id="300" w:name="_Toc126154881"/>
      <w:bookmarkStart w:id="301" w:name="_Toc2885"/>
      <w:r>
        <w:rPr>
          <w:rFonts w:hint="eastAsia" w:asciiTheme="minorEastAsia" w:hAnsiTheme="minorEastAsia" w:eastAsiaTheme="minorEastAsia"/>
          <w:b/>
          <w:bCs/>
          <w:szCs w:val="24"/>
        </w:rPr>
        <w:t>8.3智能分析</w:t>
      </w:r>
      <w:bookmarkEnd w:id="300"/>
      <w:bookmarkEnd w:id="301"/>
    </w:p>
    <w:p w14:paraId="72856DEB">
      <w:pPr>
        <w:widowControl/>
        <w:spacing w:line="360" w:lineRule="auto"/>
        <w:ind w:firstLine="480"/>
        <w:jc w:val="left"/>
        <w:rPr>
          <w:rFonts w:cs="宋体"/>
        </w:rPr>
      </w:pPr>
      <w:r>
        <w:rPr>
          <w:rFonts w:hint="eastAsia" w:cs="宋体"/>
        </w:rPr>
        <w:t>应包括PC端报表、移动端报表、组装式大屏功能支持定义丰富的大屏门户和报表。支持移动端及pc端的报表设计，支持报表拖拉拽去快速生成所需要的报表展示及分析图形。</w:t>
      </w:r>
    </w:p>
    <w:p w14:paraId="03D6C557">
      <w:pPr>
        <w:pStyle w:val="6"/>
        <w:numPr>
          <w:ilvl w:val="4"/>
          <w:numId w:val="0"/>
        </w:numPr>
        <w:ind w:left="485" w:leftChars="202"/>
        <w:rPr>
          <w:rFonts w:asciiTheme="minorEastAsia" w:hAnsiTheme="minorEastAsia"/>
          <w:color w:val="auto"/>
        </w:rPr>
      </w:pPr>
      <w:bookmarkStart w:id="302" w:name="_Toc531870866"/>
      <w:bookmarkStart w:id="303" w:name="_Toc5184909"/>
      <w:r>
        <w:rPr>
          <w:rFonts w:hint="eastAsia" w:asciiTheme="minorEastAsia" w:hAnsiTheme="minorEastAsia"/>
          <w:color w:val="auto"/>
        </w:rPr>
        <w:t>8.3.1报表设计</w:t>
      </w:r>
      <w:bookmarkEnd w:id="302"/>
      <w:bookmarkEnd w:id="303"/>
      <w:r>
        <w:rPr>
          <w:rFonts w:hint="eastAsia" w:asciiTheme="minorEastAsia" w:hAnsiTheme="minorEastAsia"/>
          <w:color w:val="auto"/>
        </w:rPr>
        <w:t>（移动+pc）</w:t>
      </w:r>
    </w:p>
    <w:p w14:paraId="615D3C8C">
      <w:pPr>
        <w:widowControl/>
        <w:spacing w:line="360" w:lineRule="auto"/>
        <w:ind w:firstLine="480"/>
        <w:jc w:val="left"/>
        <w:rPr>
          <w:rFonts w:cs="宋体"/>
        </w:rPr>
      </w:pPr>
      <w:bookmarkStart w:id="304" w:name="_Toc5184910"/>
      <w:r>
        <w:rPr>
          <w:rFonts w:hint="eastAsia" w:cs="宋体"/>
        </w:rPr>
        <w:t>（1）编辑查询</w:t>
      </w:r>
      <w:bookmarkEnd w:id="304"/>
    </w:p>
    <w:p w14:paraId="50E8AB90">
      <w:pPr>
        <w:widowControl/>
        <w:spacing w:line="360" w:lineRule="auto"/>
        <w:ind w:firstLine="480"/>
        <w:jc w:val="left"/>
        <w:rPr>
          <w:rFonts w:cs="宋体"/>
        </w:rPr>
      </w:pPr>
      <w:r>
        <w:rPr>
          <w:rFonts w:hint="eastAsia" w:cs="宋体"/>
        </w:rPr>
        <w:t>支持业务模型中的度量、维度、过滤器等构建出查询。</w:t>
      </w:r>
    </w:p>
    <w:p w14:paraId="090A91F3">
      <w:pPr>
        <w:widowControl/>
        <w:spacing w:line="360" w:lineRule="auto"/>
        <w:ind w:firstLine="480"/>
        <w:jc w:val="left"/>
        <w:rPr>
          <w:rFonts w:cs="宋体"/>
        </w:rPr>
      </w:pPr>
      <w:r>
        <w:rPr>
          <w:rFonts w:hint="eastAsia" w:cs="宋体"/>
        </w:rPr>
        <w:t>支持构建单查询</w:t>
      </w:r>
    </w:p>
    <w:p w14:paraId="758DDA8F">
      <w:pPr>
        <w:widowControl/>
        <w:spacing w:line="360" w:lineRule="auto"/>
        <w:ind w:firstLine="480"/>
        <w:jc w:val="left"/>
        <w:rPr>
          <w:rFonts w:cs="宋体"/>
        </w:rPr>
      </w:pPr>
      <w:r>
        <w:rPr>
          <w:rFonts w:hint="eastAsia" w:cs="宋体"/>
        </w:rPr>
        <w:t>支持构建多查询，可针对同一业务模型构建多查询，也可跨业务模型构建多查询</w:t>
      </w:r>
    </w:p>
    <w:p w14:paraId="5E06A47F">
      <w:pPr>
        <w:widowControl/>
        <w:spacing w:line="360" w:lineRule="auto"/>
        <w:ind w:firstLine="480"/>
        <w:jc w:val="left"/>
        <w:rPr>
          <w:rFonts w:cs="宋体"/>
        </w:rPr>
      </w:pPr>
      <w:r>
        <w:rPr>
          <w:rFonts w:hint="eastAsia" w:cs="宋体"/>
        </w:rPr>
        <w:t>支持构建联合查询</w:t>
      </w:r>
    </w:p>
    <w:p w14:paraId="3FE1826A">
      <w:pPr>
        <w:widowControl/>
        <w:spacing w:line="360" w:lineRule="auto"/>
        <w:ind w:firstLine="480"/>
        <w:jc w:val="left"/>
        <w:rPr>
          <w:rFonts w:cs="宋体"/>
        </w:rPr>
      </w:pPr>
      <w:bookmarkStart w:id="305" w:name="_Toc5184911"/>
      <w:r>
        <w:rPr>
          <w:rFonts w:hint="eastAsia" w:cs="宋体"/>
        </w:rPr>
        <w:t>（2）预定义过滤器</w:t>
      </w:r>
      <w:bookmarkEnd w:id="305"/>
    </w:p>
    <w:p w14:paraId="4954F406">
      <w:pPr>
        <w:widowControl/>
        <w:spacing w:line="360" w:lineRule="auto"/>
        <w:ind w:firstLine="480"/>
        <w:jc w:val="left"/>
        <w:rPr>
          <w:rFonts w:cs="宋体"/>
        </w:rPr>
      </w:pPr>
      <w:r>
        <w:rPr>
          <w:rFonts w:hint="eastAsia" w:cs="宋体"/>
        </w:rPr>
        <w:t>过滤器包括日期和会计日期过滤器，支持拖拽预定义的过滤器，形成报表的过滤条件。</w:t>
      </w:r>
    </w:p>
    <w:p w14:paraId="5B226A03">
      <w:pPr>
        <w:widowControl/>
        <w:spacing w:line="360" w:lineRule="auto"/>
        <w:ind w:firstLine="480"/>
        <w:jc w:val="left"/>
        <w:rPr>
          <w:rFonts w:cs="宋体"/>
        </w:rPr>
      </w:pPr>
      <w:bookmarkStart w:id="306" w:name="_Toc5184912"/>
      <w:r>
        <w:rPr>
          <w:rFonts w:hint="eastAsia" w:cs="宋体"/>
        </w:rPr>
        <w:t>（3）定制过滤器</w:t>
      </w:r>
      <w:bookmarkEnd w:id="306"/>
    </w:p>
    <w:p w14:paraId="5249DB24">
      <w:pPr>
        <w:widowControl/>
        <w:spacing w:line="360" w:lineRule="auto"/>
        <w:ind w:firstLine="480"/>
        <w:jc w:val="left"/>
        <w:rPr>
          <w:rFonts w:cs="宋体"/>
        </w:rPr>
      </w:pPr>
      <w:r>
        <w:rPr>
          <w:rFonts w:hint="eastAsia" w:cs="宋体"/>
        </w:rPr>
        <w:t>支持选择需要过滤的对象，并将其拖动到过滤区，完成查询运算，进入报表设计。</w:t>
      </w:r>
    </w:p>
    <w:p w14:paraId="7668DD0D">
      <w:pPr>
        <w:pStyle w:val="6"/>
        <w:numPr>
          <w:ilvl w:val="4"/>
          <w:numId w:val="0"/>
        </w:numPr>
        <w:ind w:left="485" w:leftChars="202"/>
        <w:rPr>
          <w:rFonts w:asciiTheme="minorEastAsia" w:hAnsiTheme="minorEastAsia"/>
          <w:color w:val="auto"/>
        </w:rPr>
      </w:pPr>
      <w:bookmarkStart w:id="307" w:name="_Toc531870872"/>
      <w:bookmarkStart w:id="308" w:name="_Toc449021313"/>
      <w:bookmarkStart w:id="309" w:name="_Toc5184915"/>
      <w:r>
        <w:rPr>
          <w:rFonts w:hint="eastAsia" w:asciiTheme="minorEastAsia" w:hAnsiTheme="minorEastAsia"/>
          <w:color w:val="auto"/>
        </w:rPr>
        <w:t>8.3.2常用</w:t>
      </w:r>
      <w:bookmarkEnd w:id="307"/>
      <w:bookmarkEnd w:id="308"/>
      <w:bookmarkStart w:id="310" w:name="_16_3_1表格__块元素"/>
      <w:bookmarkEnd w:id="310"/>
      <w:r>
        <w:rPr>
          <w:rFonts w:hint="eastAsia" w:asciiTheme="minorEastAsia" w:hAnsiTheme="minorEastAsia"/>
          <w:color w:val="auto"/>
        </w:rPr>
        <w:t>图表元素</w:t>
      </w:r>
      <w:bookmarkEnd w:id="309"/>
    </w:p>
    <w:p w14:paraId="2FF527EC">
      <w:pPr>
        <w:widowControl/>
        <w:spacing w:line="360" w:lineRule="auto"/>
        <w:ind w:firstLine="480"/>
        <w:jc w:val="left"/>
        <w:rPr>
          <w:rFonts w:cs="宋体"/>
        </w:rPr>
      </w:pPr>
      <w:r>
        <w:rPr>
          <w:rFonts w:hint="eastAsia" w:cs="宋体"/>
        </w:rPr>
        <w:t>表格块元素是重要的报表呈现元素，需支持垂直表、交叉表、固定表。垂直表和交叉表中可以放置任意分析对象，固定表中需要逐个单元格定义分析对象。</w:t>
      </w:r>
    </w:p>
    <w:p w14:paraId="6B09474C">
      <w:pPr>
        <w:widowControl/>
        <w:spacing w:line="360" w:lineRule="auto"/>
        <w:ind w:firstLine="480"/>
        <w:jc w:val="left"/>
        <w:rPr>
          <w:rFonts w:cs="宋体"/>
        </w:rPr>
      </w:pPr>
      <w:r>
        <w:rPr>
          <w:rFonts w:hint="eastAsia" w:cs="宋体"/>
        </w:rPr>
        <w:t>统计图块元素是重要的图形化报表呈现元素，需支持柱状图、饼图、折线图、柱状折线图、仪表盘、指标、散点图、地图、词云、进度图、雷达图等。丰富的数据展现形式，使分析结果更加直观可视化。</w:t>
      </w:r>
    </w:p>
    <w:p w14:paraId="5E012226">
      <w:pPr>
        <w:ind w:firstLine="0" w:firstLineChars="0"/>
        <w:rPr>
          <w:rFonts w:cs="宋体"/>
        </w:rPr>
      </w:pPr>
      <w:r>
        <w:rPr>
          <w:rFonts w:cs="宋体"/>
        </w:rPr>
        <w:drawing>
          <wp:inline distT="0" distB="0" distL="0" distR="0">
            <wp:extent cx="5759450" cy="5258435"/>
            <wp:effectExtent l="12700" t="12700" r="19050" b="37465"/>
            <wp:docPr id="2011" name="图片 2011"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1" name="图片 2011" descr="图形用户界面, 应用程序&#10;&#10;描述已自动生成"/>
                    <pic:cNvPicPr>
                      <a:picLocks noChangeAspect="1"/>
                    </pic:cNvPicPr>
                  </pic:nvPicPr>
                  <pic:blipFill>
                    <a:blip r:embed="rId27"/>
                    <a:stretch>
                      <a:fillRect/>
                    </a:stretch>
                  </pic:blipFill>
                  <pic:spPr>
                    <a:xfrm>
                      <a:off x="0" y="0"/>
                      <a:ext cx="5759450" cy="5258435"/>
                    </a:xfrm>
                    <a:prstGeom prst="rect">
                      <a:avLst/>
                    </a:prstGeom>
                    <a:ln>
                      <a:solidFill>
                        <a:schemeClr val="bg1">
                          <a:lumMod val="50000"/>
                        </a:schemeClr>
                      </a:solidFill>
                    </a:ln>
                  </pic:spPr>
                </pic:pic>
              </a:graphicData>
            </a:graphic>
          </wp:inline>
        </w:drawing>
      </w:r>
    </w:p>
    <w:bookmarkEnd w:id="290"/>
    <w:p w14:paraId="6C87E93D">
      <w:pPr>
        <w:spacing w:line="360" w:lineRule="auto"/>
        <w:ind w:firstLine="482"/>
        <w:jc w:val="left"/>
        <w:outlineLvl w:val="2"/>
        <w:rPr>
          <w:rFonts w:cs="宋体"/>
          <w:b/>
          <w:kern w:val="2"/>
          <w:szCs w:val="24"/>
        </w:rPr>
      </w:pPr>
      <w:bookmarkStart w:id="311" w:name="_Toc9995"/>
      <w:r>
        <w:rPr>
          <w:rFonts w:hint="eastAsia" w:cs="宋体"/>
          <w:b/>
          <w:kern w:val="2"/>
          <w:szCs w:val="24"/>
        </w:rPr>
        <w:t>9.系统集成接口开发</w:t>
      </w:r>
      <w:bookmarkEnd w:id="291"/>
      <w:bookmarkEnd w:id="292"/>
      <w:bookmarkEnd w:id="293"/>
      <w:bookmarkEnd w:id="294"/>
      <w:bookmarkEnd w:id="295"/>
      <w:bookmarkEnd w:id="311"/>
    </w:p>
    <w:p w14:paraId="350BB668">
      <w:pPr>
        <w:widowControl/>
        <w:spacing w:line="360" w:lineRule="auto"/>
        <w:ind w:firstLine="480"/>
        <w:jc w:val="left"/>
        <w:rPr>
          <w:rFonts w:cs="宋体"/>
          <w:kern w:val="2"/>
          <w:szCs w:val="24"/>
        </w:rPr>
      </w:pPr>
      <w:r>
        <w:rPr>
          <w:rFonts w:cs="仿宋"/>
          <w:szCs w:val="24"/>
        </w:rPr>
        <w:t>通过</w:t>
      </w:r>
      <w:r>
        <w:rPr>
          <w:rFonts w:hint="eastAsia" w:cs="仿宋"/>
          <w:szCs w:val="24"/>
        </w:rPr>
        <w:t>与集团BIP</w:t>
      </w:r>
      <w:r>
        <w:rPr>
          <w:rFonts w:cs="仿宋"/>
          <w:szCs w:val="24"/>
        </w:rPr>
        <w:t>系统集成</w:t>
      </w:r>
      <w:r>
        <w:rPr>
          <w:rFonts w:hint="eastAsia" w:cs="仿宋"/>
          <w:szCs w:val="24"/>
        </w:rPr>
        <w:t>，</w:t>
      </w:r>
      <w:r>
        <w:rPr>
          <w:rFonts w:cs="仿宋"/>
          <w:szCs w:val="24"/>
        </w:rPr>
        <w:t>实现设备、备品备件、采购、库存</w:t>
      </w:r>
      <w:r>
        <w:rPr>
          <w:rFonts w:hint="eastAsia" w:cs="仿宋"/>
          <w:szCs w:val="24"/>
        </w:rPr>
        <w:t>及财务固定资产等信息</w:t>
      </w:r>
      <w:r>
        <w:rPr>
          <w:rFonts w:cs="仿宋"/>
          <w:szCs w:val="24"/>
        </w:rPr>
        <w:t>之间联动。</w:t>
      </w:r>
      <w:r>
        <w:rPr>
          <w:rFonts w:hint="eastAsia" w:cs="仿宋"/>
          <w:szCs w:val="24"/>
        </w:rPr>
        <w:t>接口开发内容如下（具体接口开发对接详细内容根据实际需求为准)：</w:t>
      </w:r>
    </w:p>
    <w:p w14:paraId="1D618754">
      <w:pPr>
        <w:spacing w:line="360" w:lineRule="auto"/>
        <w:ind w:firstLine="482"/>
        <w:outlineLvl w:val="3"/>
        <w:rPr>
          <w:rFonts w:cs="宋体"/>
          <w:b/>
          <w:kern w:val="2"/>
          <w:szCs w:val="24"/>
        </w:rPr>
      </w:pPr>
      <w:bookmarkStart w:id="312" w:name="_Toc13388"/>
      <w:bookmarkStart w:id="313" w:name="_Toc1592"/>
      <w:bookmarkStart w:id="314" w:name="_Toc5511"/>
      <w:bookmarkStart w:id="315" w:name="_Toc10377"/>
      <w:bookmarkStart w:id="316" w:name="_Toc10421"/>
      <w:bookmarkStart w:id="317" w:name="_Toc28296"/>
      <w:bookmarkStart w:id="318" w:name="_Toc18612"/>
      <w:r>
        <w:rPr>
          <w:rFonts w:hint="eastAsia" w:cs="宋体"/>
          <w:b/>
          <w:kern w:val="2"/>
          <w:szCs w:val="24"/>
        </w:rPr>
        <w:t>9.1与集团供应链接口</w:t>
      </w:r>
      <w:bookmarkEnd w:id="312"/>
      <w:bookmarkEnd w:id="313"/>
      <w:bookmarkEnd w:id="314"/>
      <w:bookmarkEnd w:id="315"/>
      <w:bookmarkEnd w:id="316"/>
      <w:bookmarkEnd w:id="317"/>
      <w:bookmarkEnd w:id="318"/>
    </w:p>
    <w:tbl>
      <w:tblPr>
        <w:tblStyle w:val="24"/>
        <w:tblW w:w="5000" w:type="pct"/>
        <w:tblInd w:w="0" w:type="dxa"/>
        <w:tblLayout w:type="autofit"/>
        <w:tblCellMar>
          <w:top w:w="0" w:type="dxa"/>
          <w:left w:w="108" w:type="dxa"/>
          <w:bottom w:w="0" w:type="dxa"/>
          <w:right w:w="108" w:type="dxa"/>
        </w:tblCellMar>
      </w:tblPr>
      <w:tblGrid>
        <w:gridCol w:w="866"/>
        <w:gridCol w:w="3112"/>
        <w:gridCol w:w="1985"/>
        <w:gridCol w:w="1367"/>
        <w:gridCol w:w="1861"/>
      </w:tblGrid>
      <w:tr w14:paraId="35A97819">
        <w:tblPrEx>
          <w:tblCellMar>
            <w:top w:w="0" w:type="dxa"/>
            <w:left w:w="108" w:type="dxa"/>
            <w:bottom w:w="0" w:type="dxa"/>
            <w:right w:w="108" w:type="dxa"/>
          </w:tblCellMar>
        </w:tblPrEx>
        <w:trPr>
          <w:trHeight w:val="240" w:hRule="atLeast"/>
        </w:trPr>
        <w:tc>
          <w:tcPr>
            <w:tcW w:w="471" w:type="pct"/>
            <w:tcBorders>
              <w:top w:val="single" w:color="auto" w:sz="4" w:space="0"/>
              <w:left w:val="single" w:color="auto" w:sz="4" w:space="0"/>
              <w:bottom w:val="single" w:color="auto" w:sz="4" w:space="0"/>
              <w:right w:val="single" w:color="auto" w:sz="4" w:space="0"/>
              <w:tl2br w:val="nil"/>
              <w:tr2bl w:val="nil"/>
            </w:tcBorders>
            <w:vAlign w:val="center"/>
          </w:tcPr>
          <w:p w14:paraId="4191694C">
            <w:pPr>
              <w:widowControl/>
              <w:ind w:firstLine="0" w:firstLineChars="0"/>
              <w:jc w:val="center"/>
              <w:rPr>
                <w:rFonts w:cs="宋体"/>
                <w:b/>
                <w:szCs w:val="24"/>
              </w:rPr>
            </w:pPr>
            <w:r>
              <w:rPr>
                <w:rFonts w:hint="eastAsia" w:cs="宋体"/>
                <w:b/>
                <w:szCs w:val="24"/>
              </w:rPr>
              <w:t>序号</w:t>
            </w:r>
          </w:p>
        </w:tc>
        <w:tc>
          <w:tcPr>
            <w:tcW w:w="1692" w:type="pct"/>
            <w:tcBorders>
              <w:top w:val="single" w:color="auto" w:sz="4" w:space="0"/>
              <w:left w:val="nil"/>
              <w:bottom w:val="single" w:color="auto" w:sz="4" w:space="0"/>
              <w:right w:val="single" w:color="auto" w:sz="4" w:space="0"/>
              <w:tl2br w:val="nil"/>
              <w:tr2bl w:val="nil"/>
            </w:tcBorders>
            <w:vAlign w:val="center"/>
          </w:tcPr>
          <w:p w14:paraId="028162E7">
            <w:pPr>
              <w:widowControl/>
              <w:ind w:firstLine="0" w:firstLineChars="0"/>
              <w:jc w:val="center"/>
              <w:rPr>
                <w:rFonts w:cs="宋体"/>
                <w:b/>
                <w:szCs w:val="24"/>
              </w:rPr>
            </w:pPr>
            <w:r>
              <w:rPr>
                <w:rFonts w:hint="eastAsia" w:cs="宋体"/>
                <w:b/>
                <w:szCs w:val="24"/>
              </w:rPr>
              <w:t>接口名称</w:t>
            </w:r>
          </w:p>
        </w:tc>
        <w:tc>
          <w:tcPr>
            <w:tcW w:w="1079" w:type="pct"/>
            <w:tcBorders>
              <w:top w:val="single" w:color="auto" w:sz="4" w:space="0"/>
              <w:left w:val="nil"/>
              <w:bottom w:val="single" w:color="auto" w:sz="4" w:space="0"/>
              <w:right w:val="single" w:color="auto" w:sz="4" w:space="0"/>
              <w:tl2br w:val="nil"/>
              <w:tr2bl w:val="nil"/>
            </w:tcBorders>
            <w:vAlign w:val="center"/>
          </w:tcPr>
          <w:p w14:paraId="38BBE6AD">
            <w:pPr>
              <w:widowControl/>
              <w:ind w:firstLine="0" w:firstLineChars="0"/>
              <w:jc w:val="center"/>
              <w:rPr>
                <w:rFonts w:cs="宋体"/>
                <w:b/>
                <w:szCs w:val="24"/>
              </w:rPr>
            </w:pPr>
            <w:r>
              <w:rPr>
                <w:rFonts w:hint="eastAsia" w:cs="宋体"/>
                <w:b/>
                <w:szCs w:val="24"/>
              </w:rPr>
              <w:t>资产服务实体</w:t>
            </w:r>
          </w:p>
        </w:tc>
        <w:tc>
          <w:tcPr>
            <w:tcW w:w="743" w:type="pct"/>
            <w:tcBorders>
              <w:top w:val="single" w:color="auto" w:sz="4" w:space="0"/>
              <w:left w:val="nil"/>
              <w:bottom w:val="single" w:color="auto" w:sz="4" w:space="0"/>
              <w:right w:val="single" w:color="auto" w:sz="4" w:space="0"/>
              <w:tl2br w:val="nil"/>
              <w:tr2bl w:val="nil"/>
            </w:tcBorders>
            <w:vAlign w:val="center"/>
          </w:tcPr>
          <w:p w14:paraId="1B8D3B84">
            <w:pPr>
              <w:widowControl/>
              <w:ind w:firstLine="0" w:firstLineChars="0"/>
              <w:jc w:val="center"/>
              <w:rPr>
                <w:rFonts w:cs="宋体"/>
                <w:b/>
                <w:szCs w:val="24"/>
              </w:rPr>
            </w:pPr>
            <w:r>
              <w:rPr>
                <w:rFonts w:hint="eastAsia" w:cs="宋体"/>
                <w:b/>
                <w:szCs w:val="24"/>
              </w:rPr>
              <w:t>接口模式</w:t>
            </w:r>
          </w:p>
        </w:tc>
        <w:tc>
          <w:tcPr>
            <w:tcW w:w="1012" w:type="pct"/>
            <w:tcBorders>
              <w:top w:val="single" w:color="auto" w:sz="4" w:space="0"/>
              <w:left w:val="nil"/>
              <w:bottom w:val="single" w:color="auto" w:sz="4" w:space="0"/>
              <w:right w:val="single" w:color="auto" w:sz="4" w:space="0"/>
              <w:tl2br w:val="nil"/>
              <w:tr2bl w:val="nil"/>
            </w:tcBorders>
            <w:vAlign w:val="center"/>
          </w:tcPr>
          <w:p w14:paraId="1430F812">
            <w:pPr>
              <w:widowControl/>
              <w:ind w:firstLine="0" w:firstLineChars="0"/>
              <w:jc w:val="center"/>
              <w:rPr>
                <w:rFonts w:cs="宋体"/>
                <w:b/>
                <w:szCs w:val="24"/>
              </w:rPr>
            </w:pPr>
            <w:r>
              <w:rPr>
                <w:rFonts w:hint="eastAsia" w:cs="宋体"/>
                <w:b/>
                <w:szCs w:val="24"/>
              </w:rPr>
              <w:t>供应链实体</w:t>
            </w:r>
          </w:p>
        </w:tc>
      </w:tr>
      <w:tr w14:paraId="4C704A6F">
        <w:tblPrEx>
          <w:tblCellMar>
            <w:top w:w="0" w:type="dxa"/>
            <w:left w:w="108" w:type="dxa"/>
            <w:bottom w:w="0" w:type="dxa"/>
            <w:right w:w="108" w:type="dxa"/>
          </w:tblCellMar>
        </w:tblPrEx>
        <w:trPr>
          <w:trHeight w:val="58" w:hRule="atLeast"/>
        </w:trPr>
        <w:tc>
          <w:tcPr>
            <w:tcW w:w="471" w:type="pct"/>
            <w:tcBorders>
              <w:top w:val="nil"/>
              <w:left w:val="single" w:color="auto" w:sz="4" w:space="0"/>
              <w:bottom w:val="single" w:color="auto" w:sz="4" w:space="0"/>
              <w:right w:val="single" w:color="auto" w:sz="4" w:space="0"/>
              <w:tl2br w:val="nil"/>
              <w:tr2bl w:val="nil"/>
            </w:tcBorders>
            <w:vAlign w:val="center"/>
          </w:tcPr>
          <w:p w14:paraId="41711B58">
            <w:pPr>
              <w:widowControl/>
              <w:ind w:firstLine="0" w:firstLineChars="0"/>
              <w:rPr>
                <w:rFonts w:cs="宋体"/>
                <w:szCs w:val="24"/>
              </w:rPr>
            </w:pPr>
            <w:r>
              <w:rPr>
                <w:rFonts w:hint="eastAsia" w:cs="宋体"/>
                <w:szCs w:val="24"/>
              </w:rPr>
              <w:t>1</w:t>
            </w:r>
          </w:p>
        </w:tc>
        <w:tc>
          <w:tcPr>
            <w:tcW w:w="1692" w:type="pct"/>
            <w:tcBorders>
              <w:top w:val="nil"/>
              <w:left w:val="nil"/>
              <w:bottom w:val="single" w:color="auto" w:sz="4" w:space="0"/>
              <w:right w:val="single" w:color="auto" w:sz="4" w:space="0"/>
              <w:tl2br w:val="nil"/>
              <w:tr2bl w:val="nil"/>
            </w:tcBorders>
            <w:vAlign w:val="center"/>
          </w:tcPr>
          <w:p w14:paraId="2B32C4A7">
            <w:pPr>
              <w:widowControl/>
              <w:ind w:firstLine="0" w:firstLineChars="0"/>
              <w:rPr>
                <w:rFonts w:cs="宋体"/>
                <w:szCs w:val="24"/>
              </w:rPr>
            </w:pPr>
            <w:r>
              <w:rPr>
                <w:rFonts w:hint="eastAsia" w:cs="宋体"/>
                <w:szCs w:val="24"/>
              </w:rPr>
              <w:t>资产卡片拉采购到货单建卡</w:t>
            </w:r>
          </w:p>
        </w:tc>
        <w:tc>
          <w:tcPr>
            <w:tcW w:w="1079" w:type="pct"/>
            <w:tcBorders>
              <w:top w:val="nil"/>
              <w:left w:val="nil"/>
              <w:bottom w:val="single" w:color="auto" w:sz="4" w:space="0"/>
              <w:right w:val="single" w:color="auto" w:sz="4" w:space="0"/>
              <w:tl2br w:val="nil"/>
              <w:tr2bl w:val="nil"/>
            </w:tcBorders>
            <w:vAlign w:val="center"/>
          </w:tcPr>
          <w:p w14:paraId="55AF11A9">
            <w:pPr>
              <w:widowControl/>
              <w:ind w:firstLine="0" w:firstLineChars="0"/>
              <w:rPr>
                <w:rFonts w:cs="宋体"/>
                <w:szCs w:val="24"/>
              </w:rPr>
            </w:pPr>
            <w:r>
              <w:rPr>
                <w:rFonts w:hint="eastAsia" w:cs="宋体"/>
                <w:szCs w:val="24"/>
              </w:rPr>
              <w:t>待生成资产卡片</w:t>
            </w:r>
          </w:p>
        </w:tc>
        <w:tc>
          <w:tcPr>
            <w:tcW w:w="743" w:type="pct"/>
            <w:tcBorders>
              <w:top w:val="nil"/>
              <w:left w:val="nil"/>
              <w:bottom w:val="single" w:color="auto" w:sz="4" w:space="0"/>
              <w:right w:val="single" w:color="auto" w:sz="4" w:space="0"/>
              <w:tl2br w:val="nil"/>
              <w:tr2bl w:val="nil"/>
            </w:tcBorders>
            <w:vAlign w:val="center"/>
          </w:tcPr>
          <w:p w14:paraId="384555D0">
            <w:pPr>
              <w:widowControl/>
              <w:ind w:firstLine="0" w:firstLineChars="0"/>
              <w:rPr>
                <w:rFonts w:cs="宋体"/>
                <w:szCs w:val="24"/>
              </w:rPr>
            </w:pPr>
            <w:r>
              <w:rPr>
                <w:rFonts w:hint="eastAsia" w:cs="宋体"/>
                <w:szCs w:val="24"/>
              </w:rPr>
              <w:t>拉式</w:t>
            </w:r>
          </w:p>
        </w:tc>
        <w:tc>
          <w:tcPr>
            <w:tcW w:w="1012" w:type="pct"/>
            <w:tcBorders>
              <w:top w:val="nil"/>
              <w:left w:val="nil"/>
              <w:bottom w:val="single" w:color="auto" w:sz="4" w:space="0"/>
              <w:right w:val="single" w:color="auto" w:sz="4" w:space="0"/>
              <w:tl2br w:val="nil"/>
              <w:tr2bl w:val="nil"/>
            </w:tcBorders>
            <w:vAlign w:val="center"/>
          </w:tcPr>
          <w:p w14:paraId="56F9E919">
            <w:pPr>
              <w:widowControl/>
              <w:ind w:firstLine="0" w:firstLineChars="0"/>
              <w:rPr>
                <w:rFonts w:cs="宋体"/>
                <w:szCs w:val="24"/>
              </w:rPr>
            </w:pPr>
            <w:r>
              <w:rPr>
                <w:rFonts w:hint="eastAsia" w:cs="宋体"/>
                <w:szCs w:val="24"/>
              </w:rPr>
              <w:t>采购到货单</w:t>
            </w:r>
          </w:p>
        </w:tc>
      </w:tr>
      <w:tr w14:paraId="498497FA">
        <w:tblPrEx>
          <w:tblCellMar>
            <w:top w:w="0" w:type="dxa"/>
            <w:left w:w="108" w:type="dxa"/>
            <w:bottom w:w="0" w:type="dxa"/>
            <w:right w:w="108" w:type="dxa"/>
          </w:tblCellMar>
        </w:tblPrEx>
        <w:trPr>
          <w:trHeight w:val="58" w:hRule="atLeast"/>
        </w:trPr>
        <w:tc>
          <w:tcPr>
            <w:tcW w:w="471" w:type="pct"/>
            <w:tcBorders>
              <w:top w:val="nil"/>
              <w:left w:val="single" w:color="auto" w:sz="4" w:space="0"/>
              <w:bottom w:val="single" w:color="auto" w:sz="4" w:space="0"/>
              <w:right w:val="single" w:color="auto" w:sz="4" w:space="0"/>
              <w:tl2br w:val="nil"/>
              <w:tr2bl w:val="nil"/>
            </w:tcBorders>
            <w:vAlign w:val="center"/>
          </w:tcPr>
          <w:p w14:paraId="0AE462D0">
            <w:pPr>
              <w:widowControl/>
              <w:ind w:firstLine="0" w:firstLineChars="0"/>
              <w:rPr>
                <w:rFonts w:cs="宋体"/>
                <w:szCs w:val="24"/>
              </w:rPr>
            </w:pPr>
            <w:r>
              <w:rPr>
                <w:rFonts w:hint="eastAsia" w:cs="宋体"/>
                <w:szCs w:val="24"/>
              </w:rPr>
              <w:t>2</w:t>
            </w:r>
          </w:p>
        </w:tc>
        <w:tc>
          <w:tcPr>
            <w:tcW w:w="1692" w:type="pct"/>
            <w:tcBorders>
              <w:top w:val="nil"/>
              <w:left w:val="nil"/>
              <w:bottom w:val="single" w:color="auto" w:sz="4" w:space="0"/>
              <w:right w:val="single" w:color="auto" w:sz="4" w:space="0"/>
              <w:tl2br w:val="nil"/>
              <w:tr2bl w:val="nil"/>
            </w:tcBorders>
            <w:vAlign w:val="center"/>
          </w:tcPr>
          <w:p w14:paraId="76AF7AE9">
            <w:pPr>
              <w:widowControl/>
              <w:ind w:firstLine="0" w:firstLineChars="0"/>
              <w:rPr>
                <w:rFonts w:cs="宋体"/>
                <w:szCs w:val="24"/>
              </w:rPr>
            </w:pPr>
            <w:r>
              <w:rPr>
                <w:rFonts w:hint="eastAsia" w:cs="宋体"/>
                <w:szCs w:val="24"/>
              </w:rPr>
              <w:t>资产卡片拉采购入库单建卡</w:t>
            </w:r>
          </w:p>
        </w:tc>
        <w:tc>
          <w:tcPr>
            <w:tcW w:w="1079" w:type="pct"/>
            <w:tcBorders>
              <w:top w:val="nil"/>
              <w:left w:val="nil"/>
              <w:bottom w:val="single" w:color="auto" w:sz="4" w:space="0"/>
              <w:right w:val="single" w:color="auto" w:sz="4" w:space="0"/>
              <w:tl2br w:val="nil"/>
              <w:tr2bl w:val="nil"/>
            </w:tcBorders>
            <w:vAlign w:val="center"/>
          </w:tcPr>
          <w:p w14:paraId="450B2312">
            <w:pPr>
              <w:widowControl/>
              <w:ind w:firstLine="0" w:firstLineChars="0"/>
              <w:rPr>
                <w:rFonts w:cs="宋体"/>
                <w:szCs w:val="24"/>
              </w:rPr>
            </w:pPr>
            <w:r>
              <w:rPr>
                <w:rFonts w:hint="eastAsia" w:cs="宋体"/>
                <w:szCs w:val="24"/>
              </w:rPr>
              <w:t>待生成资产卡片</w:t>
            </w:r>
          </w:p>
        </w:tc>
        <w:tc>
          <w:tcPr>
            <w:tcW w:w="743" w:type="pct"/>
            <w:tcBorders>
              <w:top w:val="nil"/>
              <w:left w:val="nil"/>
              <w:bottom w:val="single" w:color="auto" w:sz="4" w:space="0"/>
              <w:right w:val="single" w:color="auto" w:sz="4" w:space="0"/>
              <w:tl2br w:val="nil"/>
              <w:tr2bl w:val="nil"/>
            </w:tcBorders>
            <w:vAlign w:val="center"/>
          </w:tcPr>
          <w:p w14:paraId="574D4F11">
            <w:pPr>
              <w:widowControl/>
              <w:ind w:firstLine="0" w:firstLineChars="0"/>
              <w:rPr>
                <w:rFonts w:cs="宋体"/>
                <w:szCs w:val="24"/>
              </w:rPr>
            </w:pPr>
            <w:r>
              <w:rPr>
                <w:rFonts w:hint="eastAsia" w:cs="宋体"/>
                <w:szCs w:val="24"/>
              </w:rPr>
              <w:t>拉式</w:t>
            </w:r>
          </w:p>
        </w:tc>
        <w:tc>
          <w:tcPr>
            <w:tcW w:w="1012" w:type="pct"/>
            <w:tcBorders>
              <w:top w:val="nil"/>
              <w:left w:val="nil"/>
              <w:bottom w:val="single" w:color="auto" w:sz="4" w:space="0"/>
              <w:right w:val="single" w:color="auto" w:sz="4" w:space="0"/>
              <w:tl2br w:val="nil"/>
              <w:tr2bl w:val="nil"/>
            </w:tcBorders>
            <w:vAlign w:val="center"/>
          </w:tcPr>
          <w:p w14:paraId="4BDF1DBC">
            <w:pPr>
              <w:widowControl/>
              <w:ind w:firstLine="0" w:firstLineChars="0"/>
              <w:rPr>
                <w:rFonts w:cs="宋体"/>
                <w:szCs w:val="24"/>
              </w:rPr>
            </w:pPr>
            <w:r>
              <w:rPr>
                <w:rFonts w:hint="eastAsia" w:cs="宋体"/>
                <w:szCs w:val="24"/>
              </w:rPr>
              <w:t>采购入库单</w:t>
            </w:r>
          </w:p>
        </w:tc>
      </w:tr>
      <w:tr w14:paraId="0E2314D6">
        <w:tblPrEx>
          <w:tblCellMar>
            <w:top w:w="0" w:type="dxa"/>
            <w:left w:w="108" w:type="dxa"/>
            <w:bottom w:w="0" w:type="dxa"/>
            <w:right w:w="108" w:type="dxa"/>
          </w:tblCellMar>
        </w:tblPrEx>
        <w:trPr>
          <w:trHeight w:val="240" w:hRule="atLeast"/>
        </w:trPr>
        <w:tc>
          <w:tcPr>
            <w:tcW w:w="471" w:type="pct"/>
            <w:tcBorders>
              <w:top w:val="nil"/>
              <w:left w:val="single" w:color="auto" w:sz="4" w:space="0"/>
              <w:bottom w:val="single" w:color="auto" w:sz="4" w:space="0"/>
              <w:right w:val="single" w:color="auto" w:sz="4" w:space="0"/>
              <w:tl2br w:val="nil"/>
              <w:tr2bl w:val="nil"/>
            </w:tcBorders>
            <w:vAlign w:val="center"/>
          </w:tcPr>
          <w:p w14:paraId="7EC7341F">
            <w:pPr>
              <w:widowControl/>
              <w:ind w:firstLine="0" w:firstLineChars="0"/>
              <w:rPr>
                <w:rFonts w:cs="宋体"/>
                <w:szCs w:val="24"/>
              </w:rPr>
            </w:pPr>
            <w:r>
              <w:rPr>
                <w:rFonts w:hint="eastAsia" w:cs="宋体"/>
                <w:szCs w:val="24"/>
              </w:rPr>
              <w:t>3</w:t>
            </w:r>
          </w:p>
        </w:tc>
        <w:tc>
          <w:tcPr>
            <w:tcW w:w="1692" w:type="pct"/>
            <w:tcBorders>
              <w:top w:val="nil"/>
              <w:left w:val="nil"/>
              <w:bottom w:val="single" w:color="auto" w:sz="4" w:space="0"/>
              <w:right w:val="single" w:color="auto" w:sz="4" w:space="0"/>
              <w:tl2br w:val="nil"/>
              <w:tr2bl w:val="nil"/>
            </w:tcBorders>
            <w:vAlign w:val="center"/>
          </w:tcPr>
          <w:p w14:paraId="3B279574">
            <w:pPr>
              <w:widowControl/>
              <w:ind w:firstLine="0" w:firstLineChars="0"/>
              <w:rPr>
                <w:rFonts w:cs="宋体"/>
                <w:szCs w:val="24"/>
              </w:rPr>
            </w:pPr>
            <w:r>
              <w:rPr>
                <w:rFonts w:hint="eastAsia" w:cs="宋体"/>
                <w:szCs w:val="24"/>
              </w:rPr>
              <w:t>资产卡片拉调拨入库单建卡</w:t>
            </w:r>
          </w:p>
        </w:tc>
        <w:tc>
          <w:tcPr>
            <w:tcW w:w="1079" w:type="pct"/>
            <w:tcBorders>
              <w:top w:val="nil"/>
              <w:left w:val="nil"/>
              <w:bottom w:val="single" w:color="auto" w:sz="4" w:space="0"/>
              <w:right w:val="single" w:color="auto" w:sz="4" w:space="0"/>
              <w:tl2br w:val="nil"/>
              <w:tr2bl w:val="nil"/>
            </w:tcBorders>
            <w:vAlign w:val="center"/>
          </w:tcPr>
          <w:p w14:paraId="789D5748">
            <w:pPr>
              <w:widowControl/>
              <w:ind w:firstLine="0" w:firstLineChars="0"/>
              <w:rPr>
                <w:rFonts w:cs="宋体"/>
                <w:szCs w:val="24"/>
              </w:rPr>
            </w:pPr>
            <w:r>
              <w:rPr>
                <w:rFonts w:hint="eastAsia" w:cs="宋体"/>
                <w:szCs w:val="24"/>
              </w:rPr>
              <w:t>待生成资产卡片</w:t>
            </w:r>
          </w:p>
        </w:tc>
        <w:tc>
          <w:tcPr>
            <w:tcW w:w="743" w:type="pct"/>
            <w:tcBorders>
              <w:top w:val="nil"/>
              <w:left w:val="nil"/>
              <w:bottom w:val="single" w:color="auto" w:sz="4" w:space="0"/>
              <w:right w:val="single" w:color="auto" w:sz="4" w:space="0"/>
              <w:tl2br w:val="nil"/>
              <w:tr2bl w:val="nil"/>
            </w:tcBorders>
            <w:vAlign w:val="center"/>
          </w:tcPr>
          <w:p w14:paraId="472A64AF">
            <w:pPr>
              <w:widowControl/>
              <w:ind w:firstLine="0" w:firstLineChars="0"/>
              <w:rPr>
                <w:rFonts w:cs="宋体"/>
                <w:szCs w:val="24"/>
              </w:rPr>
            </w:pPr>
            <w:r>
              <w:rPr>
                <w:rFonts w:hint="eastAsia" w:cs="宋体"/>
                <w:szCs w:val="24"/>
              </w:rPr>
              <w:t>拉式</w:t>
            </w:r>
          </w:p>
        </w:tc>
        <w:tc>
          <w:tcPr>
            <w:tcW w:w="1012" w:type="pct"/>
            <w:tcBorders>
              <w:top w:val="nil"/>
              <w:left w:val="nil"/>
              <w:bottom w:val="single" w:color="auto" w:sz="4" w:space="0"/>
              <w:right w:val="single" w:color="auto" w:sz="4" w:space="0"/>
              <w:tl2br w:val="nil"/>
              <w:tr2bl w:val="nil"/>
            </w:tcBorders>
            <w:vAlign w:val="center"/>
          </w:tcPr>
          <w:p w14:paraId="40656D68">
            <w:pPr>
              <w:widowControl/>
              <w:ind w:firstLine="0" w:firstLineChars="0"/>
              <w:rPr>
                <w:rFonts w:cs="宋体"/>
                <w:szCs w:val="24"/>
              </w:rPr>
            </w:pPr>
            <w:r>
              <w:rPr>
                <w:rFonts w:hint="eastAsia" w:cs="宋体"/>
                <w:szCs w:val="24"/>
              </w:rPr>
              <w:t>调拨入库单</w:t>
            </w:r>
          </w:p>
        </w:tc>
      </w:tr>
      <w:tr w14:paraId="111168F4">
        <w:tblPrEx>
          <w:tblCellMar>
            <w:top w:w="0" w:type="dxa"/>
            <w:left w:w="108" w:type="dxa"/>
            <w:bottom w:w="0" w:type="dxa"/>
            <w:right w:w="108" w:type="dxa"/>
          </w:tblCellMar>
        </w:tblPrEx>
        <w:trPr>
          <w:trHeight w:val="58" w:hRule="atLeast"/>
        </w:trPr>
        <w:tc>
          <w:tcPr>
            <w:tcW w:w="471" w:type="pct"/>
            <w:tcBorders>
              <w:top w:val="nil"/>
              <w:left w:val="single" w:color="auto" w:sz="4" w:space="0"/>
              <w:bottom w:val="single" w:color="auto" w:sz="4" w:space="0"/>
              <w:right w:val="single" w:color="auto" w:sz="4" w:space="0"/>
              <w:tl2br w:val="nil"/>
              <w:tr2bl w:val="nil"/>
            </w:tcBorders>
            <w:vAlign w:val="center"/>
          </w:tcPr>
          <w:p w14:paraId="72E3185A">
            <w:pPr>
              <w:widowControl/>
              <w:ind w:firstLine="0" w:firstLineChars="0"/>
              <w:rPr>
                <w:rFonts w:cs="宋体"/>
                <w:szCs w:val="24"/>
              </w:rPr>
            </w:pPr>
            <w:r>
              <w:rPr>
                <w:rFonts w:hint="eastAsia" w:cs="宋体"/>
                <w:szCs w:val="24"/>
              </w:rPr>
              <w:t>4</w:t>
            </w:r>
          </w:p>
        </w:tc>
        <w:tc>
          <w:tcPr>
            <w:tcW w:w="1692" w:type="pct"/>
            <w:tcBorders>
              <w:top w:val="nil"/>
              <w:left w:val="nil"/>
              <w:bottom w:val="single" w:color="auto" w:sz="4" w:space="0"/>
              <w:right w:val="single" w:color="auto" w:sz="4" w:space="0"/>
              <w:tl2br w:val="nil"/>
              <w:tr2bl w:val="nil"/>
            </w:tcBorders>
            <w:vAlign w:val="center"/>
          </w:tcPr>
          <w:p w14:paraId="0D2A20E5">
            <w:pPr>
              <w:widowControl/>
              <w:ind w:firstLine="0" w:firstLineChars="0"/>
              <w:rPr>
                <w:rFonts w:cs="宋体"/>
                <w:szCs w:val="24"/>
              </w:rPr>
            </w:pPr>
            <w:r>
              <w:rPr>
                <w:rFonts w:hint="eastAsia" w:cs="宋体"/>
                <w:szCs w:val="24"/>
              </w:rPr>
              <w:t>资产卡片拉材料出库单建卡</w:t>
            </w:r>
          </w:p>
        </w:tc>
        <w:tc>
          <w:tcPr>
            <w:tcW w:w="1079" w:type="pct"/>
            <w:tcBorders>
              <w:top w:val="nil"/>
              <w:left w:val="nil"/>
              <w:bottom w:val="single" w:color="auto" w:sz="4" w:space="0"/>
              <w:right w:val="single" w:color="auto" w:sz="4" w:space="0"/>
              <w:tl2br w:val="nil"/>
              <w:tr2bl w:val="nil"/>
            </w:tcBorders>
            <w:vAlign w:val="center"/>
          </w:tcPr>
          <w:p w14:paraId="243CAFC2">
            <w:pPr>
              <w:widowControl/>
              <w:ind w:firstLine="0" w:firstLineChars="0"/>
              <w:rPr>
                <w:rFonts w:cs="宋体"/>
                <w:szCs w:val="24"/>
              </w:rPr>
            </w:pPr>
            <w:r>
              <w:rPr>
                <w:rFonts w:hint="eastAsia" w:cs="宋体"/>
                <w:szCs w:val="24"/>
              </w:rPr>
              <w:t>待生成资产卡片</w:t>
            </w:r>
          </w:p>
        </w:tc>
        <w:tc>
          <w:tcPr>
            <w:tcW w:w="743" w:type="pct"/>
            <w:tcBorders>
              <w:top w:val="nil"/>
              <w:left w:val="nil"/>
              <w:bottom w:val="single" w:color="auto" w:sz="4" w:space="0"/>
              <w:right w:val="single" w:color="auto" w:sz="4" w:space="0"/>
              <w:tl2br w:val="nil"/>
              <w:tr2bl w:val="nil"/>
            </w:tcBorders>
            <w:vAlign w:val="center"/>
          </w:tcPr>
          <w:p w14:paraId="472F72A7">
            <w:pPr>
              <w:widowControl/>
              <w:ind w:firstLine="0" w:firstLineChars="0"/>
              <w:rPr>
                <w:rFonts w:cs="宋体"/>
                <w:szCs w:val="24"/>
              </w:rPr>
            </w:pPr>
            <w:r>
              <w:rPr>
                <w:rFonts w:hint="eastAsia" w:cs="宋体"/>
                <w:szCs w:val="24"/>
              </w:rPr>
              <w:t>拉式</w:t>
            </w:r>
          </w:p>
        </w:tc>
        <w:tc>
          <w:tcPr>
            <w:tcW w:w="1012" w:type="pct"/>
            <w:tcBorders>
              <w:top w:val="nil"/>
              <w:left w:val="nil"/>
              <w:bottom w:val="single" w:color="auto" w:sz="4" w:space="0"/>
              <w:right w:val="single" w:color="auto" w:sz="4" w:space="0"/>
              <w:tl2br w:val="nil"/>
              <w:tr2bl w:val="nil"/>
            </w:tcBorders>
            <w:vAlign w:val="center"/>
          </w:tcPr>
          <w:p w14:paraId="024E4DF5">
            <w:pPr>
              <w:widowControl/>
              <w:ind w:firstLine="0" w:firstLineChars="0"/>
              <w:rPr>
                <w:rFonts w:cs="宋体"/>
                <w:szCs w:val="24"/>
              </w:rPr>
            </w:pPr>
            <w:r>
              <w:rPr>
                <w:rFonts w:hint="eastAsia" w:cs="宋体"/>
                <w:szCs w:val="24"/>
              </w:rPr>
              <w:t>材料出库单</w:t>
            </w:r>
          </w:p>
        </w:tc>
      </w:tr>
      <w:tr w14:paraId="3610A0B0">
        <w:tblPrEx>
          <w:tblCellMar>
            <w:top w:w="0" w:type="dxa"/>
            <w:left w:w="108" w:type="dxa"/>
            <w:bottom w:w="0" w:type="dxa"/>
            <w:right w:w="108" w:type="dxa"/>
          </w:tblCellMar>
        </w:tblPrEx>
        <w:trPr>
          <w:trHeight w:val="58" w:hRule="atLeast"/>
        </w:trPr>
        <w:tc>
          <w:tcPr>
            <w:tcW w:w="471" w:type="pct"/>
            <w:tcBorders>
              <w:top w:val="nil"/>
              <w:left w:val="single" w:color="auto" w:sz="4" w:space="0"/>
              <w:bottom w:val="single" w:color="auto" w:sz="4" w:space="0"/>
              <w:right w:val="single" w:color="auto" w:sz="4" w:space="0"/>
              <w:tl2br w:val="nil"/>
              <w:tr2bl w:val="nil"/>
            </w:tcBorders>
            <w:vAlign w:val="center"/>
          </w:tcPr>
          <w:p w14:paraId="63F40DEA">
            <w:pPr>
              <w:widowControl/>
              <w:ind w:firstLine="0" w:firstLineChars="0"/>
              <w:rPr>
                <w:rFonts w:cs="宋体"/>
                <w:szCs w:val="24"/>
              </w:rPr>
            </w:pPr>
            <w:r>
              <w:rPr>
                <w:rFonts w:hint="eastAsia" w:cs="宋体"/>
                <w:szCs w:val="24"/>
              </w:rPr>
              <w:t>5</w:t>
            </w:r>
          </w:p>
        </w:tc>
        <w:tc>
          <w:tcPr>
            <w:tcW w:w="1692" w:type="pct"/>
            <w:tcBorders>
              <w:top w:val="nil"/>
              <w:left w:val="nil"/>
              <w:bottom w:val="single" w:color="auto" w:sz="4" w:space="0"/>
              <w:right w:val="single" w:color="auto" w:sz="4" w:space="0"/>
              <w:tl2br w:val="nil"/>
              <w:tr2bl w:val="nil"/>
            </w:tcBorders>
            <w:vAlign w:val="center"/>
          </w:tcPr>
          <w:p w14:paraId="24C6C079">
            <w:pPr>
              <w:widowControl/>
              <w:ind w:firstLine="0" w:firstLineChars="0"/>
              <w:rPr>
                <w:rFonts w:cs="宋体"/>
                <w:szCs w:val="24"/>
              </w:rPr>
            </w:pPr>
            <w:r>
              <w:rPr>
                <w:rFonts w:hint="eastAsia" w:cs="宋体"/>
                <w:szCs w:val="24"/>
              </w:rPr>
              <w:t>资产借用出库</w:t>
            </w:r>
          </w:p>
        </w:tc>
        <w:tc>
          <w:tcPr>
            <w:tcW w:w="1079" w:type="pct"/>
            <w:tcBorders>
              <w:top w:val="nil"/>
              <w:left w:val="nil"/>
              <w:bottom w:val="single" w:color="auto" w:sz="4" w:space="0"/>
              <w:right w:val="single" w:color="auto" w:sz="4" w:space="0"/>
              <w:tl2br w:val="nil"/>
              <w:tr2bl w:val="nil"/>
            </w:tcBorders>
            <w:vAlign w:val="center"/>
          </w:tcPr>
          <w:p w14:paraId="77D29C19">
            <w:pPr>
              <w:widowControl/>
              <w:ind w:firstLine="0" w:firstLineChars="0"/>
              <w:rPr>
                <w:rFonts w:cs="宋体"/>
                <w:szCs w:val="24"/>
              </w:rPr>
            </w:pPr>
            <w:r>
              <w:rPr>
                <w:rFonts w:hint="eastAsia" w:cs="宋体"/>
                <w:szCs w:val="24"/>
              </w:rPr>
              <w:t>资产借用</w:t>
            </w:r>
          </w:p>
        </w:tc>
        <w:tc>
          <w:tcPr>
            <w:tcW w:w="743" w:type="pct"/>
            <w:tcBorders>
              <w:top w:val="nil"/>
              <w:left w:val="nil"/>
              <w:bottom w:val="single" w:color="auto" w:sz="4" w:space="0"/>
              <w:right w:val="single" w:color="auto" w:sz="4" w:space="0"/>
              <w:tl2br w:val="nil"/>
              <w:tr2bl w:val="nil"/>
            </w:tcBorders>
            <w:vAlign w:val="center"/>
          </w:tcPr>
          <w:p w14:paraId="65BB697C">
            <w:pPr>
              <w:widowControl/>
              <w:ind w:firstLine="0" w:firstLineChars="0"/>
              <w:rPr>
                <w:rFonts w:cs="宋体"/>
                <w:szCs w:val="24"/>
              </w:rPr>
            </w:pPr>
            <w:r>
              <w:rPr>
                <w:rFonts w:hint="eastAsia" w:cs="宋体"/>
                <w:szCs w:val="24"/>
              </w:rPr>
              <w:t>推式</w:t>
            </w:r>
          </w:p>
        </w:tc>
        <w:tc>
          <w:tcPr>
            <w:tcW w:w="1012" w:type="pct"/>
            <w:tcBorders>
              <w:top w:val="nil"/>
              <w:left w:val="nil"/>
              <w:bottom w:val="single" w:color="auto" w:sz="4" w:space="0"/>
              <w:right w:val="single" w:color="auto" w:sz="4" w:space="0"/>
              <w:tl2br w:val="nil"/>
              <w:tr2bl w:val="nil"/>
            </w:tcBorders>
            <w:vAlign w:val="center"/>
          </w:tcPr>
          <w:p w14:paraId="61CAA45E">
            <w:pPr>
              <w:widowControl/>
              <w:ind w:firstLine="0" w:firstLineChars="0"/>
              <w:rPr>
                <w:rFonts w:cs="宋体"/>
                <w:szCs w:val="24"/>
              </w:rPr>
            </w:pPr>
            <w:r>
              <w:rPr>
                <w:rFonts w:hint="eastAsia" w:cs="宋体"/>
                <w:szCs w:val="24"/>
              </w:rPr>
              <w:t>资产出库</w:t>
            </w:r>
          </w:p>
        </w:tc>
      </w:tr>
      <w:tr w14:paraId="3129F71C">
        <w:tblPrEx>
          <w:tblCellMar>
            <w:top w:w="0" w:type="dxa"/>
            <w:left w:w="108" w:type="dxa"/>
            <w:bottom w:w="0" w:type="dxa"/>
            <w:right w:w="108" w:type="dxa"/>
          </w:tblCellMar>
        </w:tblPrEx>
        <w:trPr>
          <w:trHeight w:val="58" w:hRule="atLeast"/>
        </w:trPr>
        <w:tc>
          <w:tcPr>
            <w:tcW w:w="471" w:type="pct"/>
            <w:tcBorders>
              <w:top w:val="nil"/>
              <w:left w:val="single" w:color="auto" w:sz="4" w:space="0"/>
              <w:bottom w:val="single" w:color="auto" w:sz="4" w:space="0"/>
              <w:right w:val="single" w:color="auto" w:sz="4" w:space="0"/>
              <w:tl2br w:val="nil"/>
              <w:tr2bl w:val="nil"/>
            </w:tcBorders>
            <w:vAlign w:val="center"/>
          </w:tcPr>
          <w:p w14:paraId="36F1410D">
            <w:pPr>
              <w:widowControl/>
              <w:ind w:firstLine="0" w:firstLineChars="0"/>
              <w:rPr>
                <w:rFonts w:cs="宋体"/>
                <w:szCs w:val="24"/>
              </w:rPr>
            </w:pPr>
            <w:r>
              <w:rPr>
                <w:rFonts w:hint="eastAsia" w:cs="宋体"/>
                <w:szCs w:val="24"/>
              </w:rPr>
              <w:t>6</w:t>
            </w:r>
          </w:p>
        </w:tc>
        <w:tc>
          <w:tcPr>
            <w:tcW w:w="1692" w:type="pct"/>
            <w:tcBorders>
              <w:top w:val="nil"/>
              <w:left w:val="nil"/>
              <w:bottom w:val="single" w:color="auto" w:sz="4" w:space="0"/>
              <w:right w:val="single" w:color="auto" w:sz="4" w:space="0"/>
              <w:tl2br w:val="nil"/>
              <w:tr2bl w:val="nil"/>
            </w:tcBorders>
            <w:vAlign w:val="center"/>
          </w:tcPr>
          <w:p w14:paraId="605963A4">
            <w:pPr>
              <w:widowControl/>
              <w:ind w:firstLine="0" w:firstLineChars="0"/>
              <w:rPr>
                <w:rFonts w:cs="宋体"/>
                <w:szCs w:val="24"/>
              </w:rPr>
            </w:pPr>
            <w:r>
              <w:rPr>
                <w:rFonts w:hint="eastAsia" w:cs="宋体"/>
                <w:szCs w:val="24"/>
              </w:rPr>
              <w:t>资产借用归还入库</w:t>
            </w:r>
          </w:p>
        </w:tc>
        <w:tc>
          <w:tcPr>
            <w:tcW w:w="1079" w:type="pct"/>
            <w:tcBorders>
              <w:top w:val="nil"/>
              <w:left w:val="nil"/>
              <w:bottom w:val="single" w:color="auto" w:sz="4" w:space="0"/>
              <w:right w:val="single" w:color="auto" w:sz="4" w:space="0"/>
              <w:tl2br w:val="nil"/>
              <w:tr2bl w:val="nil"/>
            </w:tcBorders>
            <w:vAlign w:val="center"/>
          </w:tcPr>
          <w:p w14:paraId="60507533">
            <w:pPr>
              <w:widowControl/>
              <w:ind w:firstLine="0" w:firstLineChars="0"/>
              <w:rPr>
                <w:rFonts w:cs="宋体"/>
                <w:szCs w:val="24"/>
              </w:rPr>
            </w:pPr>
            <w:r>
              <w:rPr>
                <w:rFonts w:hint="eastAsia" w:cs="宋体"/>
                <w:szCs w:val="24"/>
              </w:rPr>
              <w:t>借用归还</w:t>
            </w:r>
          </w:p>
        </w:tc>
        <w:tc>
          <w:tcPr>
            <w:tcW w:w="743" w:type="pct"/>
            <w:tcBorders>
              <w:top w:val="nil"/>
              <w:left w:val="nil"/>
              <w:bottom w:val="single" w:color="auto" w:sz="4" w:space="0"/>
              <w:right w:val="single" w:color="auto" w:sz="4" w:space="0"/>
              <w:tl2br w:val="nil"/>
              <w:tr2bl w:val="nil"/>
            </w:tcBorders>
            <w:vAlign w:val="center"/>
          </w:tcPr>
          <w:p w14:paraId="09AD1194">
            <w:pPr>
              <w:widowControl/>
              <w:ind w:firstLine="0" w:firstLineChars="0"/>
              <w:rPr>
                <w:rFonts w:cs="宋体"/>
                <w:szCs w:val="24"/>
              </w:rPr>
            </w:pPr>
            <w:r>
              <w:rPr>
                <w:rFonts w:hint="eastAsia" w:cs="宋体"/>
                <w:szCs w:val="24"/>
              </w:rPr>
              <w:t>推式</w:t>
            </w:r>
          </w:p>
        </w:tc>
        <w:tc>
          <w:tcPr>
            <w:tcW w:w="1012" w:type="pct"/>
            <w:tcBorders>
              <w:top w:val="nil"/>
              <w:left w:val="nil"/>
              <w:bottom w:val="single" w:color="auto" w:sz="4" w:space="0"/>
              <w:right w:val="single" w:color="auto" w:sz="4" w:space="0"/>
              <w:tl2br w:val="nil"/>
              <w:tr2bl w:val="nil"/>
            </w:tcBorders>
            <w:vAlign w:val="center"/>
          </w:tcPr>
          <w:p w14:paraId="4F880B65">
            <w:pPr>
              <w:widowControl/>
              <w:ind w:firstLine="0" w:firstLineChars="0"/>
              <w:rPr>
                <w:rFonts w:cs="宋体"/>
                <w:szCs w:val="24"/>
              </w:rPr>
            </w:pPr>
            <w:r>
              <w:rPr>
                <w:rFonts w:hint="eastAsia" w:cs="宋体"/>
                <w:szCs w:val="24"/>
              </w:rPr>
              <w:t>资产入库</w:t>
            </w:r>
          </w:p>
        </w:tc>
      </w:tr>
      <w:tr w14:paraId="452ACF6A">
        <w:tblPrEx>
          <w:tblCellMar>
            <w:top w:w="0" w:type="dxa"/>
            <w:left w:w="108" w:type="dxa"/>
            <w:bottom w:w="0" w:type="dxa"/>
            <w:right w:w="108" w:type="dxa"/>
          </w:tblCellMar>
        </w:tblPrEx>
        <w:trPr>
          <w:trHeight w:val="240" w:hRule="atLeast"/>
        </w:trPr>
        <w:tc>
          <w:tcPr>
            <w:tcW w:w="471" w:type="pct"/>
            <w:tcBorders>
              <w:top w:val="nil"/>
              <w:left w:val="single" w:color="auto" w:sz="4" w:space="0"/>
              <w:bottom w:val="single" w:color="auto" w:sz="4" w:space="0"/>
              <w:right w:val="single" w:color="auto" w:sz="4" w:space="0"/>
              <w:tl2br w:val="nil"/>
              <w:tr2bl w:val="nil"/>
            </w:tcBorders>
            <w:vAlign w:val="center"/>
          </w:tcPr>
          <w:p w14:paraId="31F9C9B6">
            <w:pPr>
              <w:widowControl/>
              <w:ind w:firstLine="0" w:firstLineChars="0"/>
              <w:rPr>
                <w:rFonts w:cs="宋体"/>
                <w:szCs w:val="24"/>
              </w:rPr>
            </w:pPr>
            <w:r>
              <w:rPr>
                <w:rFonts w:hint="eastAsia" w:cs="宋体"/>
                <w:szCs w:val="24"/>
              </w:rPr>
              <w:t>7</w:t>
            </w:r>
          </w:p>
        </w:tc>
        <w:tc>
          <w:tcPr>
            <w:tcW w:w="1692" w:type="pct"/>
            <w:tcBorders>
              <w:top w:val="nil"/>
              <w:left w:val="nil"/>
              <w:bottom w:val="single" w:color="auto" w:sz="4" w:space="0"/>
              <w:right w:val="single" w:color="auto" w:sz="4" w:space="0"/>
              <w:tl2br w:val="nil"/>
              <w:tr2bl w:val="nil"/>
            </w:tcBorders>
            <w:vAlign w:val="center"/>
          </w:tcPr>
          <w:p w14:paraId="56BC0B1B">
            <w:pPr>
              <w:widowControl/>
              <w:ind w:firstLine="0" w:firstLineChars="0"/>
              <w:rPr>
                <w:rFonts w:cs="宋体"/>
                <w:szCs w:val="24"/>
              </w:rPr>
            </w:pPr>
            <w:r>
              <w:rPr>
                <w:rFonts w:hint="eastAsia" w:cs="宋体"/>
                <w:szCs w:val="24"/>
              </w:rPr>
              <w:t>资产领用出库</w:t>
            </w:r>
          </w:p>
        </w:tc>
        <w:tc>
          <w:tcPr>
            <w:tcW w:w="1079" w:type="pct"/>
            <w:tcBorders>
              <w:top w:val="nil"/>
              <w:left w:val="nil"/>
              <w:bottom w:val="single" w:color="auto" w:sz="4" w:space="0"/>
              <w:right w:val="single" w:color="auto" w:sz="4" w:space="0"/>
              <w:tl2br w:val="nil"/>
              <w:tr2bl w:val="nil"/>
            </w:tcBorders>
            <w:vAlign w:val="center"/>
          </w:tcPr>
          <w:p w14:paraId="0702E94C">
            <w:pPr>
              <w:widowControl/>
              <w:ind w:firstLine="0" w:firstLineChars="0"/>
              <w:rPr>
                <w:rFonts w:cs="宋体"/>
                <w:szCs w:val="24"/>
              </w:rPr>
            </w:pPr>
            <w:r>
              <w:rPr>
                <w:rFonts w:hint="eastAsia" w:cs="宋体"/>
                <w:szCs w:val="24"/>
              </w:rPr>
              <w:t>资产领用</w:t>
            </w:r>
          </w:p>
        </w:tc>
        <w:tc>
          <w:tcPr>
            <w:tcW w:w="743" w:type="pct"/>
            <w:tcBorders>
              <w:top w:val="nil"/>
              <w:left w:val="nil"/>
              <w:bottom w:val="single" w:color="auto" w:sz="4" w:space="0"/>
              <w:right w:val="single" w:color="auto" w:sz="4" w:space="0"/>
              <w:tl2br w:val="nil"/>
              <w:tr2bl w:val="nil"/>
            </w:tcBorders>
            <w:vAlign w:val="center"/>
          </w:tcPr>
          <w:p w14:paraId="15BCBDF6">
            <w:pPr>
              <w:widowControl/>
              <w:ind w:firstLine="0" w:firstLineChars="0"/>
              <w:rPr>
                <w:rFonts w:cs="宋体"/>
                <w:szCs w:val="24"/>
              </w:rPr>
            </w:pPr>
            <w:r>
              <w:rPr>
                <w:rFonts w:hint="eastAsia" w:cs="宋体"/>
                <w:szCs w:val="24"/>
              </w:rPr>
              <w:t>推式</w:t>
            </w:r>
          </w:p>
        </w:tc>
        <w:tc>
          <w:tcPr>
            <w:tcW w:w="1012" w:type="pct"/>
            <w:tcBorders>
              <w:top w:val="nil"/>
              <w:left w:val="nil"/>
              <w:bottom w:val="single" w:color="auto" w:sz="4" w:space="0"/>
              <w:right w:val="single" w:color="auto" w:sz="4" w:space="0"/>
              <w:tl2br w:val="nil"/>
              <w:tr2bl w:val="nil"/>
            </w:tcBorders>
            <w:vAlign w:val="center"/>
          </w:tcPr>
          <w:p w14:paraId="04D0466F">
            <w:pPr>
              <w:widowControl/>
              <w:ind w:firstLine="0" w:firstLineChars="0"/>
              <w:rPr>
                <w:rFonts w:cs="宋体"/>
                <w:szCs w:val="24"/>
              </w:rPr>
            </w:pPr>
            <w:r>
              <w:rPr>
                <w:rFonts w:hint="eastAsia" w:cs="宋体"/>
                <w:szCs w:val="24"/>
              </w:rPr>
              <w:t>资产出库</w:t>
            </w:r>
          </w:p>
        </w:tc>
      </w:tr>
      <w:tr w14:paraId="47280F35">
        <w:tblPrEx>
          <w:tblCellMar>
            <w:top w:w="0" w:type="dxa"/>
            <w:left w:w="108" w:type="dxa"/>
            <w:bottom w:w="0" w:type="dxa"/>
            <w:right w:w="108" w:type="dxa"/>
          </w:tblCellMar>
        </w:tblPrEx>
        <w:trPr>
          <w:trHeight w:val="240" w:hRule="atLeast"/>
        </w:trPr>
        <w:tc>
          <w:tcPr>
            <w:tcW w:w="471" w:type="pct"/>
            <w:tcBorders>
              <w:top w:val="nil"/>
              <w:left w:val="single" w:color="auto" w:sz="4" w:space="0"/>
              <w:bottom w:val="single" w:color="auto" w:sz="4" w:space="0"/>
              <w:right w:val="single" w:color="auto" w:sz="4" w:space="0"/>
              <w:tl2br w:val="nil"/>
              <w:tr2bl w:val="nil"/>
            </w:tcBorders>
            <w:vAlign w:val="center"/>
          </w:tcPr>
          <w:p w14:paraId="1663ED1A">
            <w:pPr>
              <w:widowControl/>
              <w:ind w:firstLine="0" w:firstLineChars="0"/>
              <w:rPr>
                <w:rFonts w:cs="宋体"/>
                <w:szCs w:val="24"/>
              </w:rPr>
            </w:pPr>
            <w:r>
              <w:rPr>
                <w:rFonts w:hint="eastAsia" w:cs="宋体"/>
                <w:szCs w:val="24"/>
              </w:rPr>
              <w:t>8</w:t>
            </w:r>
          </w:p>
        </w:tc>
        <w:tc>
          <w:tcPr>
            <w:tcW w:w="1692" w:type="pct"/>
            <w:tcBorders>
              <w:top w:val="nil"/>
              <w:left w:val="nil"/>
              <w:bottom w:val="single" w:color="auto" w:sz="4" w:space="0"/>
              <w:right w:val="single" w:color="auto" w:sz="4" w:space="0"/>
              <w:tl2br w:val="nil"/>
              <w:tr2bl w:val="nil"/>
            </w:tcBorders>
            <w:vAlign w:val="center"/>
          </w:tcPr>
          <w:p w14:paraId="128BBEE3">
            <w:pPr>
              <w:widowControl/>
              <w:ind w:firstLine="0" w:firstLineChars="0"/>
              <w:rPr>
                <w:rFonts w:cs="宋体"/>
                <w:szCs w:val="24"/>
              </w:rPr>
            </w:pPr>
            <w:r>
              <w:rPr>
                <w:rFonts w:hint="eastAsia" w:cs="宋体"/>
                <w:szCs w:val="24"/>
              </w:rPr>
              <w:t>资产领用归还入库</w:t>
            </w:r>
          </w:p>
        </w:tc>
        <w:tc>
          <w:tcPr>
            <w:tcW w:w="1079" w:type="pct"/>
            <w:tcBorders>
              <w:top w:val="nil"/>
              <w:left w:val="nil"/>
              <w:bottom w:val="single" w:color="auto" w:sz="4" w:space="0"/>
              <w:right w:val="single" w:color="auto" w:sz="4" w:space="0"/>
              <w:tl2br w:val="nil"/>
              <w:tr2bl w:val="nil"/>
            </w:tcBorders>
            <w:vAlign w:val="center"/>
          </w:tcPr>
          <w:p w14:paraId="1626C609">
            <w:pPr>
              <w:widowControl/>
              <w:ind w:firstLine="0" w:firstLineChars="0"/>
              <w:rPr>
                <w:rFonts w:cs="宋体"/>
                <w:szCs w:val="24"/>
              </w:rPr>
            </w:pPr>
            <w:r>
              <w:rPr>
                <w:rFonts w:hint="eastAsia" w:cs="宋体"/>
                <w:szCs w:val="24"/>
              </w:rPr>
              <w:t>领用归还</w:t>
            </w:r>
          </w:p>
        </w:tc>
        <w:tc>
          <w:tcPr>
            <w:tcW w:w="743" w:type="pct"/>
            <w:tcBorders>
              <w:top w:val="nil"/>
              <w:left w:val="nil"/>
              <w:bottom w:val="single" w:color="auto" w:sz="4" w:space="0"/>
              <w:right w:val="single" w:color="auto" w:sz="4" w:space="0"/>
              <w:tl2br w:val="nil"/>
              <w:tr2bl w:val="nil"/>
            </w:tcBorders>
            <w:vAlign w:val="center"/>
          </w:tcPr>
          <w:p w14:paraId="68880A41">
            <w:pPr>
              <w:widowControl/>
              <w:ind w:firstLine="0" w:firstLineChars="0"/>
              <w:rPr>
                <w:rFonts w:cs="宋体"/>
                <w:szCs w:val="24"/>
              </w:rPr>
            </w:pPr>
            <w:r>
              <w:rPr>
                <w:rFonts w:hint="eastAsia" w:cs="宋体"/>
                <w:szCs w:val="24"/>
              </w:rPr>
              <w:t>推式</w:t>
            </w:r>
          </w:p>
        </w:tc>
        <w:tc>
          <w:tcPr>
            <w:tcW w:w="1012" w:type="pct"/>
            <w:tcBorders>
              <w:top w:val="nil"/>
              <w:left w:val="nil"/>
              <w:bottom w:val="single" w:color="auto" w:sz="4" w:space="0"/>
              <w:right w:val="single" w:color="auto" w:sz="4" w:space="0"/>
              <w:tl2br w:val="nil"/>
              <w:tr2bl w:val="nil"/>
            </w:tcBorders>
            <w:vAlign w:val="center"/>
          </w:tcPr>
          <w:p w14:paraId="45FE484A">
            <w:pPr>
              <w:widowControl/>
              <w:ind w:firstLine="0" w:firstLineChars="0"/>
              <w:rPr>
                <w:rFonts w:cs="宋体"/>
                <w:szCs w:val="24"/>
              </w:rPr>
            </w:pPr>
            <w:r>
              <w:rPr>
                <w:rFonts w:hint="eastAsia" w:cs="宋体"/>
                <w:szCs w:val="24"/>
              </w:rPr>
              <w:t>资产入库</w:t>
            </w:r>
          </w:p>
        </w:tc>
      </w:tr>
      <w:tr w14:paraId="67A56EB2">
        <w:tblPrEx>
          <w:tblCellMar>
            <w:top w:w="0" w:type="dxa"/>
            <w:left w:w="108" w:type="dxa"/>
            <w:bottom w:w="0" w:type="dxa"/>
            <w:right w:w="108" w:type="dxa"/>
          </w:tblCellMar>
        </w:tblPrEx>
        <w:trPr>
          <w:trHeight w:val="58" w:hRule="atLeast"/>
        </w:trPr>
        <w:tc>
          <w:tcPr>
            <w:tcW w:w="471" w:type="pct"/>
            <w:tcBorders>
              <w:top w:val="nil"/>
              <w:left w:val="single" w:color="auto" w:sz="4" w:space="0"/>
              <w:bottom w:val="single" w:color="auto" w:sz="4" w:space="0"/>
              <w:right w:val="single" w:color="auto" w:sz="4" w:space="0"/>
              <w:tl2br w:val="nil"/>
              <w:tr2bl w:val="nil"/>
            </w:tcBorders>
            <w:vAlign w:val="center"/>
          </w:tcPr>
          <w:p w14:paraId="66DC334D">
            <w:pPr>
              <w:widowControl/>
              <w:ind w:firstLine="0" w:firstLineChars="0"/>
              <w:rPr>
                <w:rFonts w:cs="宋体"/>
                <w:szCs w:val="24"/>
              </w:rPr>
            </w:pPr>
            <w:r>
              <w:rPr>
                <w:rFonts w:hint="eastAsia" w:cs="宋体"/>
                <w:szCs w:val="24"/>
              </w:rPr>
              <w:t>9</w:t>
            </w:r>
          </w:p>
        </w:tc>
        <w:tc>
          <w:tcPr>
            <w:tcW w:w="1692" w:type="pct"/>
            <w:tcBorders>
              <w:top w:val="nil"/>
              <w:left w:val="nil"/>
              <w:bottom w:val="single" w:color="auto" w:sz="4" w:space="0"/>
              <w:right w:val="single" w:color="auto" w:sz="4" w:space="0"/>
              <w:tl2br w:val="nil"/>
              <w:tr2bl w:val="nil"/>
            </w:tcBorders>
            <w:vAlign w:val="center"/>
          </w:tcPr>
          <w:p w14:paraId="28A90304">
            <w:pPr>
              <w:widowControl/>
              <w:ind w:firstLine="0" w:firstLineChars="0"/>
              <w:rPr>
                <w:rFonts w:cs="宋体"/>
                <w:szCs w:val="24"/>
              </w:rPr>
            </w:pPr>
            <w:r>
              <w:rPr>
                <w:rFonts w:hint="eastAsia" w:cs="宋体"/>
                <w:szCs w:val="24"/>
              </w:rPr>
              <w:t>资产封存入库</w:t>
            </w:r>
          </w:p>
        </w:tc>
        <w:tc>
          <w:tcPr>
            <w:tcW w:w="1079" w:type="pct"/>
            <w:tcBorders>
              <w:top w:val="nil"/>
              <w:left w:val="nil"/>
              <w:bottom w:val="single" w:color="auto" w:sz="4" w:space="0"/>
              <w:right w:val="single" w:color="auto" w:sz="4" w:space="0"/>
              <w:tl2br w:val="nil"/>
              <w:tr2bl w:val="nil"/>
            </w:tcBorders>
            <w:vAlign w:val="center"/>
          </w:tcPr>
          <w:p w14:paraId="76E57576">
            <w:pPr>
              <w:widowControl/>
              <w:ind w:firstLine="0" w:firstLineChars="0"/>
              <w:rPr>
                <w:rFonts w:cs="宋体"/>
                <w:szCs w:val="24"/>
              </w:rPr>
            </w:pPr>
            <w:r>
              <w:rPr>
                <w:rFonts w:hint="eastAsia" w:cs="宋体"/>
                <w:szCs w:val="24"/>
              </w:rPr>
              <w:t>资产封存</w:t>
            </w:r>
          </w:p>
        </w:tc>
        <w:tc>
          <w:tcPr>
            <w:tcW w:w="743" w:type="pct"/>
            <w:tcBorders>
              <w:top w:val="nil"/>
              <w:left w:val="nil"/>
              <w:bottom w:val="single" w:color="auto" w:sz="4" w:space="0"/>
              <w:right w:val="single" w:color="auto" w:sz="4" w:space="0"/>
              <w:tl2br w:val="nil"/>
              <w:tr2bl w:val="nil"/>
            </w:tcBorders>
            <w:vAlign w:val="center"/>
          </w:tcPr>
          <w:p w14:paraId="5BD814DF">
            <w:pPr>
              <w:widowControl/>
              <w:ind w:firstLine="0" w:firstLineChars="0"/>
              <w:rPr>
                <w:rFonts w:cs="宋体"/>
                <w:szCs w:val="24"/>
              </w:rPr>
            </w:pPr>
            <w:r>
              <w:rPr>
                <w:rFonts w:hint="eastAsia" w:cs="宋体"/>
                <w:szCs w:val="24"/>
              </w:rPr>
              <w:t>推式</w:t>
            </w:r>
          </w:p>
        </w:tc>
        <w:tc>
          <w:tcPr>
            <w:tcW w:w="1012" w:type="pct"/>
            <w:tcBorders>
              <w:top w:val="nil"/>
              <w:left w:val="nil"/>
              <w:bottom w:val="single" w:color="auto" w:sz="4" w:space="0"/>
              <w:right w:val="single" w:color="auto" w:sz="4" w:space="0"/>
              <w:tl2br w:val="nil"/>
              <w:tr2bl w:val="nil"/>
            </w:tcBorders>
            <w:vAlign w:val="center"/>
          </w:tcPr>
          <w:p w14:paraId="0BA58329">
            <w:pPr>
              <w:widowControl/>
              <w:ind w:firstLine="0" w:firstLineChars="0"/>
              <w:rPr>
                <w:rFonts w:cs="宋体"/>
                <w:szCs w:val="24"/>
              </w:rPr>
            </w:pPr>
            <w:r>
              <w:rPr>
                <w:rFonts w:hint="eastAsia" w:cs="宋体"/>
                <w:szCs w:val="24"/>
              </w:rPr>
              <w:t>资产入库</w:t>
            </w:r>
          </w:p>
        </w:tc>
      </w:tr>
      <w:tr w14:paraId="605EC106">
        <w:tblPrEx>
          <w:tblCellMar>
            <w:top w:w="0" w:type="dxa"/>
            <w:left w:w="108" w:type="dxa"/>
            <w:bottom w:w="0" w:type="dxa"/>
            <w:right w:w="108" w:type="dxa"/>
          </w:tblCellMar>
        </w:tblPrEx>
        <w:trPr>
          <w:trHeight w:val="58" w:hRule="atLeast"/>
        </w:trPr>
        <w:tc>
          <w:tcPr>
            <w:tcW w:w="471" w:type="pct"/>
            <w:tcBorders>
              <w:top w:val="nil"/>
              <w:left w:val="single" w:color="auto" w:sz="4" w:space="0"/>
              <w:bottom w:val="single" w:color="auto" w:sz="4" w:space="0"/>
              <w:right w:val="single" w:color="auto" w:sz="4" w:space="0"/>
              <w:tl2br w:val="nil"/>
              <w:tr2bl w:val="nil"/>
            </w:tcBorders>
            <w:vAlign w:val="center"/>
          </w:tcPr>
          <w:p w14:paraId="50948259">
            <w:pPr>
              <w:widowControl/>
              <w:ind w:firstLine="0" w:firstLineChars="0"/>
              <w:rPr>
                <w:rFonts w:cs="宋体"/>
                <w:szCs w:val="24"/>
              </w:rPr>
            </w:pPr>
            <w:r>
              <w:rPr>
                <w:rFonts w:hint="eastAsia" w:cs="宋体"/>
                <w:szCs w:val="24"/>
              </w:rPr>
              <w:t>10</w:t>
            </w:r>
          </w:p>
        </w:tc>
        <w:tc>
          <w:tcPr>
            <w:tcW w:w="1692" w:type="pct"/>
            <w:tcBorders>
              <w:top w:val="nil"/>
              <w:left w:val="nil"/>
              <w:bottom w:val="single" w:color="auto" w:sz="4" w:space="0"/>
              <w:right w:val="single" w:color="auto" w:sz="4" w:space="0"/>
              <w:tl2br w:val="nil"/>
              <w:tr2bl w:val="nil"/>
            </w:tcBorders>
            <w:vAlign w:val="center"/>
          </w:tcPr>
          <w:p w14:paraId="6C596872">
            <w:pPr>
              <w:widowControl/>
              <w:ind w:firstLine="0" w:firstLineChars="0"/>
              <w:rPr>
                <w:rFonts w:cs="宋体"/>
                <w:szCs w:val="24"/>
              </w:rPr>
            </w:pPr>
            <w:r>
              <w:rPr>
                <w:rFonts w:hint="eastAsia" w:cs="宋体"/>
                <w:szCs w:val="24"/>
              </w:rPr>
              <w:t>资产所有权调出出库</w:t>
            </w:r>
          </w:p>
        </w:tc>
        <w:tc>
          <w:tcPr>
            <w:tcW w:w="1079" w:type="pct"/>
            <w:tcBorders>
              <w:top w:val="nil"/>
              <w:left w:val="nil"/>
              <w:bottom w:val="single" w:color="auto" w:sz="4" w:space="0"/>
              <w:right w:val="single" w:color="auto" w:sz="4" w:space="0"/>
              <w:tl2br w:val="nil"/>
              <w:tr2bl w:val="nil"/>
            </w:tcBorders>
            <w:vAlign w:val="center"/>
          </w:tcPr>
          <w:p w14:paraId="3D08CEA2">
            <w:pPr>
              <w:widowControl/>
              <w:ind w:firstLine="0" w:firstLineChars="0"/>
              <w:rPr>
                <w:rFonts w:cs="宋体"/>
                <w:szCs w:val="24"/>
              </w:rPr>
            </w:pPr>
            <w:r>
              <w:rPr>
                <w:rFonts w:hint="eastAsia" w:cs="宋体"/>
                <w:szCs w:val="24"/>
              </w:rPr>
              <w:t>所有权调出</w:t>
            </w:r>
          </w:p>
        </w:tc>
        <w:tc>
          <w:tcPr>
            <w:tcW w:w="743" w:type="pct"/>
            <w:tcBorders>
              <w:top w:val="nil"/>
              <w:left w:val="nil"/>
              <w:bottom w:val="single" w:color="auto" w:sz="4" w:space="0"/>
              <w:right w:val="single" w:color="auto" w:sz="4" w:space="0"/>
              <w:tl2br w:val="nil"/>
              <w:tr2bl w:val="nil"/>
            </w:tcBorders>
            <w:vAlign w:val="center"/>
          </w:tcPr>
          <w:p w14:paraId="15EBE203">
            <w:pPr>
              <w:widowControl/>
              <w:ind w:firstLine="0" w:firstLineChars="0"/>
              <w:rPr>
                <w:rFonts w:cs="宋体"/>
                <w:szCs w:val="24"/>
              </w:rPr>
            </w:pPr>
            <w:r>
              <w:rPr>
                <w:rFonts w:hint="eastAsia" w:cs="宋体"/>
                <w:szCs w:val="24"/>
              </w:rPr>
              <w:t>推式</w:t>
            </w:r>
          </w:p>
        </w:tc>
        <w:tc>
          <w:tcPr>
            <w:tcW w:w="1012" w:type="pct"/>
            <w:tcBorders>
              <w:top w:val="nil"/>
              <w:left w:val="nil"/>
              <w:bottom w:val="single" w:color="auto" w:sz="4" w:space="0"/>
              <w:right w:val="single" w:color="auto" w:sz="4" w:space="0"/>
              <w:tl2br w:val="nil"/>
              <w:tr2bl w:val="nil"/>
            </w:tcBorders>
            <w:vAlign w:val="center"/>
          </w:tcPr>
          <w:p w14:paraId="154A59AB">
            <w:pPr>
              <w:widowControl/>
              <w:ind w:firstLine="0" w:firstLineChars="0"/>
              <w:rPr>
                <w:rFonts w:cs="宋体"/>
                <w:szCs w:val="24"/>
              </w:rPr>
            </w:pPr>
            <w:r>
              <w:rPr>
                <w:rFonts w:hint="eastAsia" w:cs="宋体"/>
                <w:szCs w:val="24"/>
              </w:rPr>
              <w:t>资产出库</w:t>
            </w:r>
          </w:p>
        </w:tc>
      </w:tr>
      <w:tr w14:paraId="3DF78D0B">
        <w:tblPrEx>
          <w:tblCellMar>
            <w:top w:w="0" w:type="dxa"/>
            <w:left w:w="108" w:type="dxa"/>
            <w:bottom w:w="0" w:type="dxa"/>
            <w:right w:w="108" w:type="dxa"/>
          </w:tblCellMar>
        </w:tblPrEx>
        <w:trPr>
          <w:trHeight w:val="240" w:hRule="atLeast"/>
        </w:trPr>
        <w:tc>
          <w:tcPr>
            <w:tcW w:w="471" w:type="pct"/>
            <w:tcBorders>
              <w:top w:val="nil"/>
              <w:left w:val="single" w:color="auto" w:sz="4" w:space="0"/>
              <w:bottom w:val="single" w:color="auto" w:sz="4" w:space="0"/>
              <w:right w:val="single" w:color="auto" w:sz="4" w:space="0"/>
              <w:tl2br w:val="nil"/>
              <w:tr2bl w:val="nil"/>
            </w:tcBorders>
            <w:vAlign w:val="center"/>
          </w:tcPr>
          <w:p w14:paraId="2E1FDD18">
            <w:pPr>
              <w:widowControl/>
              <w:ind w:firstLine="0" w:firstLineChars="0"/>
              <w:rPr>
                <w:rFonts w:cs="宋体"/>
                <w:szCs w:val="24"/>
              </w:rPr>
            </w:pPr>
            <w:r>
              <w:rPr>
                <w:rFonts w:hint="eastAsia" w:cs="宋体"/>
                <w:szCs w:val="24"/>
              </w:rPr>
              <w:t>11</w:t>
            </w:r>
          </w:p>
        </w:tc>
        <w:tc>
          <w:tcPr>
            <w:tcW w:w="1692" w:type="pct"/>
            <w:tcBorders>
              <w:top w:val="nil"/>
              <w:left w:val="nil"/>
              <w:bottom w:val="single" w:color="auto" w:sz="4" w:space="0"/>
              <w:right w:val="single" w:color="auto" w:sz="4" w:space="0"/>
              <w:tl2br w:val="nil"/>
              <w:tr2bl w:val="nil"/>
            </w:tcBorders>
            <w:vAlign w:val="center"/>
          </w:tcPr>
          <w:p w14:paraId="1771BA5D">
            <w:pPr>
              <w:widowControl/>
              <w:ind w:firstLine="0" w:firstLineChars="0"/>
              <w:rPr>
                <w:rFonts w:cs="宋体"/>
                <w:szCs w:val="24"/>
              </w:rPr>
            </w:pPr>
            <w:r>
              <w:rPr>
                <w:rFonts w:hint="eastAsia" w:cs="宋体"/>
                <w:szCs w:val="24"/>
              </w:rPr>
              <w:t>资产使用权调出出库</w:t>
            </w:r>
          </w:p>
        </w:tc>
        <w:tc>
          <w:tcPr>
            <w:tcW w:w="1079" w:type="pct"/>
            <w:tcBorders>
              <w:top w:val="nil"/>
              <w:left w:val="nil"/>
              <w:bottom w:val="single" w:color="auto" w:sz="4" w:space="0"/>
              <w:right w:val="single" w:color="auto" w:sz="4" w:space="0"/>
              <w:tl2br w:val="nil"/>
              <w:tr2bl w:val="nil"/>
            </w:tcBorders>
            <w:vAlign w:val="center"/>
          </w:tcPr>
          <w:p w14:paraId="010730B2">
            <w:pPr>
              <w:widowControl/>
              <w:ind w:firstLine="0" w:firstLineChars="0"/>
              <w:rPr>
                <w:rFonts w:cs="宋体"/>
                <w:szCs w:val="24"/>
              </w:rPr>
            </w:pPr>
            <w:r>
              <w:rPr>
                <w:rFonts w:hint="eastAsia" w:cs="宋体"/>
                <w:szCs w:val="24"/>
              </w:rPr>
              <w:t>使用权调出</w:t>
            </w:r>
          </w:p>
        </w:tc>
        <w:tc>
          <w:tcPr>
            <w:tcW w:w="743" w:type="pct"/>
            <w:tcBorders>
              <w:top w:val="nil"/>
              <w:left w:val="nil"/>
              <w:bottom w:val="single" w:color="auto" w:sz="4" w:space="0"/>
              <w:right w:val="single" w:color="auto" w:sz="4" w:space="0"/>
              <w:tl2br w:val="nil"/>
              <w:tr2bl w:val="nil"/>
            </w:tcBorders>
            <w:vAlign w:val="center"/>
          </w:tcPr>
          <w:p w14:paraId="0BE3C4E7">
            <w:pPr>
              <w:widowControl/>
              <w:ind w:firstLine="0" w:firstLineChars="0"/>
              <w:rPr>
                <w:rFonts w:cs="宋体"/>
                <w:szCs w:val="24"/>
              </w:rPr>
            </w:pPr>
            <w:r>
              <w:rPr>
                <w:rFonts w:hint="eastAsia" w:cs="宋体"/>
                <w:szCs w:val="24"/>
              </w:rPr>
              <w:t>推式</w:t>
            </w:r>
          </w:p>
        </w:tc>
        <w:tc>
          <w:tcPr>
            <w:tcW w:w="1012" w:type="pct"/>
            <w:tcBorders>
              <w:top w:val="nil"/>
              <w:left w:val="nil"/>
              <w:bottom w:val="single" w:color="auto" w:sz="4" w:space="0"/>
              <w:right w:val="single" w:color="auto" w:sz="4" w:space="0"/>
              <w:tl2br w:val="nil"/>
              <w:tr2bl w:val="nil"/>
            </w:tcBorders>
            <w:vAlign w:val="center"/>
          </w:tcPr>
          <w:p w14:paraId="3C059A27">
            <w:pPr>
              <w:widowControl/>
              <w:ind w:firstLine="0" w:firstLineChars="0"/>
              <w:rPr>
                <w:rFonts w:cs="宋体"/>
                <w:szCs w:val="24"/>
              </w:rPr>
            </w:pPr>
            <w:r>
              <w:rPr>
                <w:rFonts w:hint="eastAsia" w:cs="宋体"/>
                <w:szCs w:val="24"/>
              </w:rPr>
              <w:t>资产出库</w:t>
            </w:r>
          </w:p>
        </w:tc>
      </w:tr>
      <w:tr w14:paraId="0328BE8F">
        <w:tblPrEx>
          <w:tblCellMar>
            <w:top w:w="0" w:type="dxa"/>
            <w:left w:w="108" w:type="dxa"/>
            <w:bottom w:w="0" w:type="dxa"/>
            <w:right w:w="108" w:type="dxa"/>
          </w:tblCellMar>
        </w:tblPrEx>
        <w:trPr>
          <w:trHeight w:val="58" w:hRule="atLeast"/>
        </w:trPr>
        <w:tc>
          <w:tcPr>
            <w:tcW w:w="471" w:type="pct"/>
            <w:tcBorders>
              <w:top w:val="nil"/>
              <w:left w:val="single" w:color="auto" w:sz="4" w:space="0"/>
              <w:bottom w:val="single" w:color="auto" w:sz="4" w:space="0"/>
              <w:right w:val="single" w:color="auto" w:sz="4" w:space="0"/>
              <w:tl2br w:val="nil"/>
              <w:tr2bl w:val="nil"/>
            </w:tcBorders>
            <w:vAlign w:val="center"/>
          </w:tcPr>
          <w:p w14:paraId="5CEAAA13">
            <w:pPr>
              <w:widowControl/>
              <w:ind w:firstLine="0" w:firstLineChars="0"/>
              <w:rPr>
                <w:rFonts w:cs="宋体"/>
                <w:szCs w:val="24"/>
              </w:rPr>
            </w:pPr>
            <w:r>
              <w:rPr>
                <w:rFonts w:hint="eastAsia" w:cs="宋体"/>
                <w:szCs w:val="24"/>
              </w:rPr>
              <w:t>12</w:t>
            </w:r>
          </w:p>
        </w:tc>
        <w:tc>
          <w:tcPr>
            <w:tcW w:w="1692" w:type="pct"/>
            <w:tcBorders>
              <w:top w:val="nil"/>
              <w:left w:val="nil"/>
              <w:bottom w:val="single" w:color="auto" w:sz="4" w:space="0"/>
              <w:right w:val="single" w:color="auto" w:sz="4" w:space="0"/>
              <w:tl2br w:val="nil"/>
              <w:tr2bl w:val="nil"/>
            </w:tcBorders>
            <w:vAlign w:val="center"/>
          </w:tcPr>
          <w:p w14:paraId="318B74E4">
            <w:pPr>
              <w:widowControl/>
              <w:ind w:firstLine="0" w:firstLineChars="0"/>
              <w:rPr>
                <w:rFonts w:cs="宋体"/>
                <w:szCs w:val="24"/>
              </w:rPr>
            </w:pPr>
            <w:r>
              <w:rPr>
                <w:rFonts w:hint="eastAsia" w:cs="宋体"/>
                <w:szCs w:val="24"/>
              </w:rPr>
              <w:t>资产所有权调入入库</w:t>
            </w:r>
          </w:p>
        </w:tc>
        <w:tc>
          <w:tcPr>
            <w:tcW w:w="1079" w:type="pct"/>
            <w:tcBorders>
              <w:top w:val="nil"/>
              <w:left w:val="nil"/>
              <w:bottom w:val="single" w:color="auto" w:sz="4" w:space="0"/>
              <w:right w:val="single" w:color="auto" w:sz="4" w:space="0"/>
              <w:tl2br w:val="nil"/>
              <w:tr2bl w:val="nil"/>
            </w:tcBorders>
            <w:vAlign w:val="center"/>
          </w:tcPr>
          <w:p w14:paraId="4E102E70">
            <w:pPr>
              <w:widowControl/>
              <w:ind w:firstLine="0" w:firstLineChars="0"/>
              <w:rPr>
                <w:rFonts w:cs="宋体"/>
                <w:szCs w:val="24"/>
              </w:rPr>
            </w:pPr>
            <w:r>
              <w:rPr>
                <w:rFonts w:hint="eastAsia" w:cs="宋体"/>
                <w:szCs w:val="24"/>
              </w:rPr>
              <w:t>所有权调入</w:t>
            </w:r>
          </w:p>
        </w:tc>
        <w:tc>
          <w:tcPr>
            <w:tcW w:w="743" w:type="pct"/>
            <w:tcBorders>
              <w:top w:val="nil"/>
              <w:left w:val="nil"/>
              <w:bottom w:val="single" w:color="auto" w:sz="4" w:space="0"/>
              <w:right w:val="single" w:color="auto" w:sz="4" w:space="0"/>
              <w:tl2br w:val="nil"/>
              <w:tr2bl w:val="nil"/>
            </w:tcBorders>
            <w:vAlign w:val="center"/>
          </w:tcPr>
          <w:p w14:paraId="5DD24FD5">
            <w:pPr>
              <w:widowControl/>
              <w:ind w:firstLine="0" w:firstLineChars="0"/>
              <w:rPr>
                <w:rFonts w:cs="宋体"/>
                <w:szCs w:val="24"/>
              </w:rPr>
            </w:pPr>
            <w:r>
              <w:rPr>
                <w:rFonts w:hint="eastAsia" w:cs="宋体"/>
                <w:szCs w:val="24"/>
              </w:rPr>
              <w:t>推式</w:t>
            </w:r>
          </w:p>
        </w:tc>
        <w:tc>
          <w:tcPr>
            <w:tcW w:w="1012" w:type="pct"/>
            <w:tcBorders>
              <w:top w:val="nil"/>
              <w:left w:val="nil"/>
              <w:bottom w:val="single" w:color="auto" w:sz="4" w:space="0"/>
              <w:right w:val="single" w:color="auto" w:sz="4" w:space="0"/>
              <w:tl2br w:val="nil"/>
              <w:tr2bl w:val="nil"/>
            </w:tcBorders>
            <w:vAlign w:val="center"/>
          </w:tcPr>
          <w:p w14:paraId="684D93B7">
            <w:pPr>
              <w:widowControl/>
              <w:ind w:firstLine="0" w:firstLineChars="0"/>
              <w:rPr>
                <w:rFonts w:cs="宋体"/>
                <w:szCs w:val="24"/>
              </w:rPr>
            </w:pPr>
            <w:r>
              <w:rPr>
                <w:rFonts w:hint="eastAsia" w:cs="宋体"/>
                <w:szCs w:val="24"/>
              </w:rPr>
              <w:t>资产入库</w:t>
            </w:r>
          </w:p>
        </w:tc>
      </w:tr>
      <w:tr w14:paraId="74616706">
        <w:tblPrEx>
          <w:tblCellMar>
            <w:top w:w="0" w:type="dxa"/>
            <w:left w:w="108" w:type="dxa"/>
            <w:bottom w:w="0" w:type="dxa"/>
            <w:right w:w="108" w:type="dxa"/>
          </w:tblCellMar>
        </w:tblPrEx>
        <w:trPr>
          <w:trHeight w:val="240" w:hRule="atLeast"/>
        </w:trPr>
        <w:tc>
          <w:tcPr>
            <w:tcW w:w="471" w:type="pct"/>
            <w:tcBorders>
              <w:top w:val="nil"/>
              <w:left w:val="single" w:color="auto" w:sz="4" w:space="0"/>
              <w:bottom w:val="single" w:color="auto" w:sz="4" w:space="0"/>
              <w:right w:val="single" w:color="auto" w:sz="4" w:space="0"/>
              <w:tl2br w:val="nil"/>
              <w:tr2bl w:val="nil"/>
            </w:tcBorders>
            <w:vAlign w:val="center"/>
          </w:tcPr>
          <w:p w14:paraId="4D2316B7">
            <w:pPr>
              <w:widowControl/>
              <w:ind w:firstLine="0" w:firstLineChars="0"/>
              <w:rPr>
                <w:rFonts w:cs="宋体"/>
                <w:szCs w:val="24"/>
              </w:rPr>
            </w:pPr>
            <w:r>
              <w:rPr>
                <w:rFonts w:hint="eastAsia" w:cs="宋体"/>
                <w:szCs w:val="24"/>
              </w:rPr>
              <w:t>13</w:t>
            </w:r>
          </w:p>
        </w:tc>
        <w:tc>
          <w:tcPr>
            <w:tcW w:w="1692" w:type="pct"/>
            <w:tcBorders>
              <w:top w:val="nil"/>
              <w:left w:val="nil"/>
              <w:bottom w:val="single" w:color="auto" w:sz="4" w:space="0"/>
              <w:right w:val="single" w:color="auto" w:sz="4" w:space="0"/>
              <w:tl2br w:val="nil"/>
              <w:tr2bl w:val="nil"/>
            </w:tcBorders>
            <w:vAlign w:val="center"/>
          </w:tcPr>
          <w:p w14:paraId="562B4F1C">
            <w:pPr>
              <w:widowControl/>
              <w:ind w:firstLine="0" w:firstLineChars="0"/>
              <w:rPr>
                <w:rFonts w:cs="宋体"/>
                <w:szCs w:val="24"/>
              </w:rPr>
            </w:pPr>
            <w:r>
              <w:rPr>
                <w:rFonts w:hint="eastAsia" w:cs="宋体"/>
                <w:szCs w:val="24"/>
              </w:rPr>
              <w:t>资产使用权调入入库</w:t>
            </w:r>
          </w:p>
        </w:tc>
        <w:tc>
          <w:tcPr>
            <w:tcW w:w="1079" w:type="pct"/>
            <w:tcBorders>
              <w:top w:val="nil"/>
              <w:left w:val="nil"/>
              <w:bottom w:val="single" w:color="auto" w:sz="4" w:space="0"/>
              <w:right w:val="single" w:color="auto" w:sz="4" w:space="0"/>
              <w:tl2br w:val="nil"/>
              <w:tr2bl w:val="nil"/>
            </w:tcBorders>
            <w:vAlign w:val="center"/>
          </w:tcPr>
          <w:p w14:paraId="5686D3D7">
            <w:pPr>
              <w:widowControl/>
              <w:ind w:firstLine="0" w:firstLineChars="0"/>
              <w:rPr>
                <w:rFonts w:cs="宋体"/>
                <w:szCs w:val="24"/>
              </w:rPr>
            </w:pPr>
            <w:r>
              <w:rPr>
                <w:rFonts w:hint="eastAsia" w:cs="宋体"/>
                <w:szCs w:val="24"/>
              </w:rPr>
              <w:t>使用权调入</w:t>
            </w:r>
          </w:p>
        </w:tc>
        <w:tc>
          <w:tcPr>
            <w:tcW w:w="743" w:type="pct"/>
            <w:tcBorders>
              <w:top w:val="nil"/>
              <w:left w:val="nil"/>
              <w:bottom w:val="single" w:color="auto" w:sz="4" w:space="0"/>
              <w:right w:val="single" w:color="auto" w:sz="4" w:space="0"/>
              <w:tl2br w:val="nil"/>
              <w:tr2bl w:val="nil"/>
            </w:tcBorders>
            <w:vAlign w:val="center"/>
          </w:tcPr>
          <w:p w14:paraId="0D79C3D0">
            <w:pPr>
              <w:widowControl/>
              <w:ind w:firstLine="0" w:firstLineChars="0"/>
              <w:rPr>
                <w:rFonts w:cs="宋体"/>
                <w:szCs w:val="24"/>
              </w:rPr>
            </w:pPr>
            <w:r>
              <w:rPr>
                <w:rFonts w:hint="eastAsia" w:cs="宋体"/>
                <w:szCs w:val="24"/>
              </w:rPr>
              <w:t>推式</w:t>
            </w:r>
          </w:p>
        </w:tc>
        <w:tc>
          <w:tcPr>
            <w:tcW w:w="1012" w:type="pct"/>
            <w:tcBorders>
              <w:top w:val="nil"/>
              <w:left w:val="nil"/>
              <w:bottom w:val="single" w:color="auto" w:sz="4" w:space="0"/>
              <w:right w:val="single" w:color="auto" w:sz="4" w:space="0"/>
              <w:tl2br w:val="nil"/>
              <w:tr2bl w:val="nil"/>
            </w:tcBorders>
            <w:vAlign w:val="center"/>
          </w:tcPr>
          <w:p w14:paraId="1359BAD6">
            <w:pPr>
              <w:widowControl/>
              <w:ind w:firstLine="0" w:firstLineChars="0"/>
              <w:rPr>
                <w:rFonts w:cs="宋体"/>
                <w:szCs w:val="24"/>
              </w:rPr>
            </w:pPr>
            <w:r>
              <w:rPr>
                <w:rFonts w:hint="eastAsia" w:cs="宋体"/>
                <w:szCs w:val="24"/>
              </w:rPr>
              <w:t>资产入库</w:t>
            </w:r>
          </w:p>
        </w:tc>
      </w:tr>
      <w:tr w14:paraId="090544D4">
        <w:tblPrEx>
          <w:tblCellMar>
            <w:top w:w="0" w:type="dxa"/>
            <w:left w:w="108" w:type="dxa"/>
            <w:bottom w:w="0" w:type="dxa"/>
            <w:right w:w="108" w:type="dxa"/>
          </w:tblCellMar>
        </w:tblPrEx>
        <w:trPr>
          <w:trHeight w:val="58" w:hRule="atLeast"/>
        </w:trPr>
        <w:tc>
          <w:tcPr>
            <w:tcW w:w="471" w:type="pct"/>
            <w:tcBorders>
              <w:top w:val="nil"/>
              <w:left w:val="single" w:color="auto" w:sz="4" w:space="0"/>
              <w:bottom w:val="single" w:color="auto" w:sz="4" w:space="0"/>
              <w:right w:val="single" w:color="auto" w:sz="4" w:space="0"/>
              <w:tl2br w:val="nil"/>
              <w:tr2bl w:val="nil"/>
            </w:tcBorders>
            <w:vAlign w:val="center"/>
          </w:tcPr>
          <w:p w14:paraId="57BA55BA">
            <w:pPr>
              <w:widowControl/>
              <w:ind w:firstLine="0" w:firstLineChars="0"/>
              <w:rPr>
                <w:rFonts w:cs="宋体"/>
                <w:szCs w:val="24"/>
              </w:rPr>
            </w:pPr>
            <w:r>
              <w:rPr>
                <w:rFonts w:hint="eastAsia" w:cs="宋体"/>
                <w:szCs w:val="24"/>
              </w:rPr>
              <w:t>14</w:t>
            </w:r>
          </w:p>
        </w:tc>
        <w:tc>
          <w:tcPr>
            <w:tcW w:w="1692" w:type="pct"/>
            <w:tcBorders>
              <w:top w:val="nil"/>
              <w:left w:val="nil"/>
              <w:bottom w:val="single" w:color="auto" w:sz="4" w:space="0"/>
              <w:right w:val="single" w:color="auto" w:sz="4" w:space="0"/>
              <w:tl2br w:val="nil"/>
              <w:tr2bl w:val="nil"/>
            </w:tcBorders>
            <w:vAlign w:val="center"/>
          </w:tcPr>
          <w:p w14:paraId="2277A6D9">
            <w:pPr>
              <w:widowControl/>
              <w:ind w:firstLine="0" w:firstLineChars="0"/>
              <w:rPr>
                <w:rFonts w:cs="宋体"/>
                <w:szCs w:val="24"/>
              </w:rPr>
            </w:pPr>
            <w:r>
              <w:rPr>
                <w:rFonts w:hint="eastAsia" w:cs="宋体"/>
                <w:szCs w:val="24"/>
              </w:rPr>
              <w:t>资产报废出库</w:t>
            </w:r>
          </w:p>
        </w:tc>
        <w:tc>
          <w:tcPr>
            <w:tcW w:w="1079" w:type="pct"/>
            <w:tcBorders>
              <w:top w:val="nil"/>
              <w:left w:val="nil"/>
              <w:bottom w:val="single" w:color="auto" w:sz="4" w:space="0"/>
              <w:right w:val="single" w:color="auto" w:sz="4" w:space="0"/>
              <w:tl2br w:val="nil"/>
              <w:tr2bl w:val="nil"/>
            </w:tcBorders>
            <w:vAlign w:val="center"/>
          </w:tcPr>
          <w:p w14:paraId="6348AA59">
            <w:pPr>
              <w:widowControl/>
              <w:ind w:firstLine="0" w:firstLineChars="0"/>
              <w:rPr>
                <w:rFonts w:cs="宋体"/>
                <w:szCs w:val="24"/>
              </w:rPr>
            </w:pPr>
            <w:r>
              <w:rPr>
                <w:rFonts w:hint="eastAsia" w:cs="宋体"/>
                <w:szCs w:val="24"/>
              </w:rPr>
              <w:t>资产报废</w:t>
            </w:r>
          </w:p>
        </w:tc>
        <w:tc>
          <w:tcPr>
            <w:tcW w:w="743" w:type="pct"/>
            <w:tcBorders>
              <w:top w:val="nil"/>
              <w:left w:val="nil"/>
              <w:bottom w:val="single" w:color="auto" w:sz="4" w:space="0"/>
              <w:right w:val="single" w:color="auto" w:sz="4" w:space="0"/>
              <w:tl2br w:val="nil"/>
              <w:tr2bl w:val="nil"/>
            </w:tcBorders>
            <w:vAlign w:val="center"/>
          </w:tcPr>
          <w:p w14:paraId="75BBF82A">
            <w:pPr>
              <w:widowControl/>
              <w:ind w:firstLine="0" w:firstLineChars="0"/>
              <w:rPr>
                <w:rFonts w:cs="宋体"/>
                <w:szCs w:val="24"/>
              </w:rPr>
            </w:pPr>
            <w:r>
              <w:rPr>
                <w:rFonts w:hint="eastAsia" w:cs="宋体"/>
                <w:szCs w:val="24"/>
              </w:rPr>
              <w:t>推式</w:t>
            </w:r>
          </w:p>
        </w:tc>
        <w:tc>
          <w:tcPr>
            <w:tcW w:w="1012" w:type="pct"/>
            <w:tcBorders>
              <w:top w:val="nil"/>
              <w:left w:val="nil"/>
              <w:bottom w:val="single" w:color="auto" w:sz="4" w:space="0"/>
              <w:right w:val="single" w:color="auto" w:sz="4" w:space="0"/>
              <w:tl2br w:val="nil"/>
              <w:tr2bl w:val="nil"/>
            </w:tcBorders>
            <w:vAlign w:val="center"/>
          </w:tcPr>
          <w:p w14:paraId="472C494F">
            <w:pPr>
              <w:widowControl/>
              <w:ind w:firstLine="0" w:firstLineChars="0"/>
              <w:rPr>
                <w:rFonts w:cs="宋体"/>
                <w:szCs w:val="24"/>
              </w:rPr>
            </w:pPr>
            <w:r>
              <w:rPr>
                <w:rFonts w:hint="eastAsia" w:cs="宋体"/>
                <w:szCs w:val="24"/>
              </w:rPr>
              <w:t>资产出库</w:t>
            </w:r>
          </w:p>
        </w:tc>
      </w:tr>
      <w:tr w14:paraId="2610823C">
        <w:tblPrEx>
          <w:tblCellMar>
            <w:top w:w="0" w:type="dxa"/>
            <w:left w:w="108" w:type="dxa"/>
            <w:bottom w:w="0" w:type="dxa"/>
            <w:right w:w="108" w:type="dxa"/>
          </w:tblCellMar>
        </w:tblPrEx>
        <w:trPr>
          <w:trHeight w:val="58" w:hRule="atLeast"/>
        </w:trPr>
        <w:tc>
          <w:tcPr>
            <w:tcW w:w="471" w:type="pct"/>
            <w:tcBorders>
              <w:top w:val="nil"/>
              <w:left w:val="single" w:color="auto" w:sz="4" w:space="0"/>
              <w:bottom w:val="single" w:color="auto" w:sz="4" w:space="0"/>
              <w:right w:val="single" w:color="auto" w:sz="4" w:space="0"/>
              <w:tl2br w:val="nil"/>
              <w:tr2bl w:val="nil"/>
            </w:tcBorders>
            <w:vAlign w:val="center"/>
          </w:tcPr>
          <w:p w14:paraId="2A2E266D">
            <w:pPr>
              <w:widowControl/>
              <w:ind w:firstLine="0" w:firstLineChars="0"/>
              <w:rPr>
                <w:rFonts w:cs="宋体"/>
                <w:szCs w:val="24"/>
              </w:rPr>
            </w:pPr>
            <w:r>
              <w:rPr>
                <w:rFonts w:hint="eastAsia" w:cs="宋体"/>
                <w:szCs w:val="24"/>
              </w:rPr>
              <w:t>15</w:t>
            </w:r>
          </w:p>
        </w:tc>
        <w:tc>
          <w:tcPr>
            <w:tcW w:w="1692" w:type="pct"/>
            <w:tcBorders>
              <w:top w:val="nil"/>
              <w:left w:val="nil"/>
              <w:bottom w:val="single" w:color="auto" w:sz="4" w:space="0"/>
              <w:right w:val="single" w:color="auto" w:sz="4" w:space="0"/>
              <w:tl2br w:val="nil"/>
              <w:tr2bl w:val="nil"/>
            </w:tcBorders>
            <w:vAlign w:val="center"/>
          </w:tcPr>
          <w:p w14:paraId="4784D9EC">
            <w:pPr>
              <w:widowControl/>
              <w:ind w:firstLine="0" w:firstLineChars="0"/>
              <w:rPr>
                <w:rFonts w:cs="宋体"/>
                <w:szCs w:val="24"/>
              </w:rPr>
            </w:pPr>
            <w:r>
              <w:rPr>
                <w:rFonts w:hint="eastAsia" w:cs="宋体"/>
                <w:szCs w:val="24"/>
              </w:rPr>
              <w:t>资产报废入库</w:t>
            </w:r>
          </w:p>
        </w:tc>
        <w:tc>
          <w:tcPr>
            <w:tcW w:w="1079" w:type="pct"/>
            <w:tcBorders>
              <w:top w:val="nil"/>
              <w:left w:val="nil"/>
              <w:bottom w:val="single" w:color="auto" w:sz="4" w:space="0"/>
              <w:right w:val="single" w:color="auto" w:sz="4" w:space="0"/>
              <w:tl2br w:val="nil"/>
              <w:tr2bl w:val="nil"/>
            </w:tcBorders>
            <w:vAlign w:val="center"/>
          </w:tcPr>
          <w:p w14:paraId="4EA900A9">
            <w:pPr>
              <w:widowControl/>
              <w:ind w:firstLine="0" w:firstLineChars="0"/>
              <w:rPr>
                <w:rFonts w:cs="宋体"/>
                <w:szCs w:val="24"/>
              </w:rPr>
            </w:pPr>
            <w:r>
              <w:rPr>
                <w:rFonts w:hint="eastAsia" w:cs="宋体"/>
                <w:szCs w:val="24"/>
              </w:rPr>
              <w:t>资产报废</w:t>
            </w:r>
          </w:p>
        </w:tc>
        <w:tc>
          <w:tcPr>
            <w:tcW w:w="743" w:type="pct"/>
            <w:tcBorders>
              <w:top w:val="nil"/>
              <w:left w:val="nil"/>
              <w:bottom w:val="single" w:color="auto" w:sz="4" w:space="0"/>
              <w:right w:val="single" w:color="auto" w:sz="4" w:space="0"/>
              <w:tl2br w:val="nil"/>
              <w:tr2bl w:val="nil"/>
            </w:tcBorders>
            <w:vAlign w:val="center"/>
          </w:tcPr>
          <w:p w14:paraId="448B29A3">
            <w:pPr>
              <w:widowControl/>
              <w:ind w:firstLine="0" w:firstLineChars="0"/>
              <w:rPr>
                <w:rFonts w:cs="宋体"/>
                <w:szCs w:val="24"/>
              </w:rPr>
            </w:pPr>
            <w:r>
              <w:rPr>
                <w:rFonts w:hint="eastAsia" w:cs="宋体"/>
                <w:szCs w:val="24"/>
              </w:rPr>
              <w:t>推式</w:t>
            </w:r>
          </w:p>
        </w:tc>
        <w:tc>
          <w:tcPr>
            <w:tcW w:w="1012" w:type="pct"/>
            <w:tcBorders>
              <w:top w:val="nil"/>
              <w:left w:val="nil"/>
              <w:bottom w:val="single" w:color="auto" w:sz="4" w:space="0"/>
              <w:right w:val="single" w:color="auto" w:sz="4" w:space="0"/>
              <w:tl2br w:val="nil"/>
              <w:tr2bl w:val="nil"/>
            </w:tcBorders>
            <w:vAlign w:val="center"/>
          </w:tcPr>
          <w:p w14:paraId="29C92EAE">
            <w:pPr>
              <w:widowControl/>
              <w:ind w:firstLine="0" w:firstLineChars="0"/>
              <w:rPr>
                <w:rFonts w:cs="宋体"/>
                <w:szCs w:val="24"/>
              </w:rPr>
            </w:pPr>
            <w:r>
              <w:rPr>
                <w:rFonts w:hint="eastAsia" w:cs="宋体"/>
                <w:szCs w:val="24"/>
              </w:rPr>
              <w:t>资产入库</w:t>
            </w:r>
          </w:p>
        </w:tc>
      </w:tr>
      <w:tr w14:paraId="6430A0BB">
        <w:tblPrEx>
          <w:tblCellMar>
            <w:top w:w="0" w:type="dxa"/>
            <w:left w:w="108" w:type="dxa"/>
            <w:bottom w:w="0" w:type="dxa"/>
            <w:right w:w="108" w:type="dxa"/>
          </w:tblCellMar>
        </w:tblPrEx>
        <w:trPr>
          <w:trHeight w:val="240" w:hRule="atLeast"/>
        </w:trPr>
        <w:tc>
          <w:tcPr>
            <w:tcW w:w="471" w:type="pct"/>
            <w:tcBorders>
              <w:top w:val="nil"/>
              <w:left w:val="single" w:color="auto" w:sz="4" w:space="0"/>
              <w:bottom w:val="single" w:color="auto" w:sz="4" w:space="0"/>
              <w:right w:val="single" w:color="auto" w:sz="4" w:space="0"/>
              <w:tl2br w:val="nil"/>
              <w:tr2bl w:val="nil"/>
            </w:tcBorders>
            <w:vAlign w:val="center"/>
          </w:tcPr>
          <w:p w14:paraId="6260F40A">
            <w:pPr>
              <w:widowControl/>
              <w:ind w:firstLine="0" w:firstLineChars="0"/>
              <w:rPr>
                <w:rFonts w:cs="宋体"/>
                <w:szCs w:val="24"/>
              </w:rPr>
            </w:pPr>
            <w:r>
              <w:rPr>
                <w:rFonts w:hint="eastAsia" w:cs="宋体"/>
                <w:szCs w:val="24"/>
              </w:rPr>
              <w:t>16</w:t>
            </w:r>
          </w:p>
        </w:tc>
        <w:tc>
          <w:tcPr>
            <w:tcW w:w="1692" w:type="pct"/>
            <w:tcBorders>
              <w:top w:val="nil"/>
              <w:left w:val="nil"/>
              <w:bottom w:val="single" w:color="auto" w:sz="4" w:space="0"/>
              <w:right w:val="single" w:color="auto" w:sz="4" w:space="0"/>
              <w:tl2br w:val="nil"/>
              <w:tr2bl w:val="nil"/>
            </w:tcBorders>
            <w:vAlign w:val="center"/>
          </w:tcPr>
          <w:p w14:paraId="3C7EFEF9">
            <w:pPr>
              <w:widowControl/>
              <w:ind w:firstLine="0" w:firstLineChars="0"/>
              <w:rPr>
                <w:rFonts w:cs="宋体"/>
                <w:szCs w:val="24"/>
              </w:rPr>
            </w:pPr>
            <w:r>
              <w:rPr>
                <w:rFonts w:hint="eastAsia" w:cs="宋体"/>
                <w:szCs w:val="24"/>
              </w:rPr>
              <w:t>资产处置出库</w:t>
            </w:r>
          </w:p>
        </w:tc>
        <w:tc>
          <w:tcPr>
            <w:tcW w:w="1079" w:type="pct"/>
            <w:tcBorders>
              <w:top w:val="nil"/>
              <w:left w:val="nil"/>
              <w:bottom w:val="single" w:color="auto" w:sz="4" w:space="0"/>
              <w:right w:val="single" w:color="auto" w:sz="4" w:space="0"/>
              <w:tl2br w:val="nil"/>
              <w:tr2bl w:val="nil"/>
            </w:tcBorders>
            <w:vAlign w:val="center"/>
          </w:tcPr>
          <w:p w14:paraId="6F085A0A">
            <w:pPr>
              <w:widowControl/>
              <w:ind w:firstLine="0" w:firstLineChars="0"/>
              <w:rPr>
                <w:rFonts w:cs="宋体"/>
                <w:szCs w:val="24"/>
              </w:rPr>
            </w:pPr>
            <w:r>
              <w:rPr>
                <w:rFonts w:hint="eastAsia" w:cs="宋体"/>
                <w:szCs w:val="24"/>
              </w:rPr>
              <w:t>资产处置</w:t>
            </w:r>
          </w:p>
        </w:tc>
        <w:tc>
          <w:tcPr>
            <w:tcW w:w="743" w:type="pct"/>
            <w:tcBorders>
              <w:top w:val="nil"/>
              <w:left w:val="nil"/>
              <w:bottom w:val="single" w:color="auto" w:sz="4" w:space="0"/>
              <w:right w:val="single" w:color="auto" w:sz="4" w:space="0"/>
              <w:tl2br w:val="nil"/>
              <w:tr2bl w:val="nil"/>
            </w:tcBorders>
            <w:vAlign w:val="center"/>
          </w:tcPr>
          <w:p w14:paraId="2E732BB1">
            <w:pPr>
              <w:widowControl/>
              <w:ind w:firstLine="0" w:firstLineChars="0"/>
              <w:rPr>
                <w:rFonts w:cs="宋体"/>
                <w:szCs w:val="24"/>
              </w:rPr>
            </w:pPr>
            <w:r>
              <w:rPr>
                <w:rFonts w:hint="eastAsia" w:cs="宋体"/>
                <w:szCs w:val="24"/>
              </w:rPr>
              <w:t>推式</w:t>
            </w:r>
          </w:p>
        </w:tc>
        <w:tc>
          <w:tcPr>
            <w:tcW w:w="1012" w:type="pct"/>
            <w:tcBorders>
              <w:top w:val="nil"/>
              <w:left w:val="nil"/>
              <w:bottom w:val="single" w:color="auto" w:sz="4" w:space="0"/>
              <w:right w:val="single" w:color="auto" w:sz="4" w:space="0"/>
              <w:tl2br w:val="nil"/>
              <w:tr2bl w:val="nil"/>
            </w:tcBorders>
            <w:vAlign w:val="center"/>
          </w:tcPr>
          <w:p w14:paraId="135FFB19">
            <w:pPr>
              <w:widowControl/>
              <w:ind w:firstLine="0" w:firstLineChars="0"/>
              <w:rPr>
                <w:rFonts w:cs="宋体"/>
                <w:szCs w:val="24"/>
              </w:rPr>
            </w:pPr>
            <w:r>
              <w:rPr>
                <w:rFonts w:hint="eastAsia" w:cs="宋体"/>
                <w:szCs w:val="24"/>
              </w:rPr>
              <w:t>资产出库</w:t>
            </w:r>
          </w:p>
        </w:tc>
      </w:tr>
      <w:tr w14:paraId="7F843E67">
        <w:tblPrEx>
          <w:tblCellMar>
            <w:top w:w="0" w:type="dxa"/>
            <w:left w:w="108" w:type="dxa"/>
            <w:bottom w:w="0" w:type="dxa"/>
            <w:right w:w="108" w:type="dxa"/>
          </w:tblCellMar>
        </w:tblPrEx>
        <w:trPr>
          <w:trHeight w:val="240" w:hRule="atLeast"/>
        </w:trPr>
        <w:tc>
          <w:tcPr>
            <w:tcW w:w="471" w:type="pct"/>
            <w:tcBorders>
              <w:top w:val="nil"/>
              <w:left w:val="single" w:color="auto" w:sz="4" w:space="0"/>
              <w:bottom w:val="single" w:color="auto" w:sz="4" w:space="0"/>
              <w:right w:val="single" w:color="auto" w:sz="4" w:space="0"/>
              <w:tl2br w:val="nil"/>
              <w:tr2bl w:val="nil"/>
            </w:tcBorders>
            <w:vAlign w:val="center"/>
          </w:tcPr>
          <w:p w14:paraId="38931E0B">
            <w:pPr>
              <w:widowControl/>
              <w:ind w:firstLine="0" w:firstLineChars="0"/>
              <w:rPr>
                <w:rFonts w:cs="宋体"/>
                <w:szCs w:val="24"/>
              </w:rPr>
            </w:pPr>
            <w:r>
              <w:rPr>
                <w:rFonts w:hint="eastAsia" w:cs="宋体"/>
                <w:szCs w:val="24"/>
              </w:rPr>
              <w:t>17</w:t>
            </w:r>
          </w:p>
        </w:tc>
        <w:tc>
          <w:tcPr>
            <w:tcW w:w="1692" w:type="pct"/>
            <w:tcBorders>
              <w:top w:val="nil"/>
              <w:left w:val="nil"/>
              <w:bottom w:val="single" w:color="auto" w:sz="4" w:space="0"/>
              <w:right w:val="single" w:color="auto" w:sz="4" w:space="0"/>
              <w:tl2br w:val="nil"/>
              <w:tr2bl w:val="nil"/>
            </w:tcBorders>
            <w:vAlign w:val="center"/>
          </w:tcPr>
          <w:p w14:paraId="7EF46C5A">
            <w:pPr>
              <w:widowControl/>
              <w:ind w:firstLine="0" w:firstLineChars="0"/>
              <w:rPr>
                <w:rFonts w:cs="宋体"/>
                <w:szCs w:val="24"/>
              </w:rPr>
            </w:pPr>
            <w:r>
              <w:rPr>
                <w:rFonts w:hint="eastAsia" w:cs="宋体"/>
                <w:szCs w:val="24"/>
              </w:rPr>
              <w:t>资产捐赠出库</w:t>
            </w:r>
          </w:p>
        </w:tc>
        <w:tc>
          <w:tcPr>
            <w:tcW w:w="1079" w:type="pct"/>
            <w:tcBorders>
              <w:top w:val="nil"/>
              <w:left w:val="nil"/>
              <w:bottom w:val="single" w:color="auto" w:sz="4" w:space="0"/>
              <w:right w:val="single" w:color="auto" w:sz="4" w:space="0"/>
              <w:tl2br w:val="nil"/>
              <w:tr2bl w:val="nil"/>
            </w:tcBorders>
            <w:vAlign w:val="center"/>
          </w:tcPr>
          <w:p w14:paraId="01EDA92B">
            <w:pPr>
              <w:widowControl/>
              <w:ind w:firstLine="0" w:firstLineChars="0"/>
              <w:rPr>
                <w:rFonts w:cs="宋体"/>
                <w:szCs w:val="24"/>
              </w:rPr>
            </w:pPr>
            <w:r>
              <w:rPr>
                <w:rFonts w:hint="eastAsia" w:cs="宋体"/>
                <w:szCs w:val="24"/>
              </w:rPr>
              <w:t>资产捐赠</w:t>
            </w:r>
          </w:p>
        </w:tc>
        <w:tc>
          <w:tcPr>
            <w:tcW w:w="743" w:type="pct"/>
            <w:tcBorders>
              <w:top w:val="nil"/>
              <w:left w:val="nil"/>
              <w:bottom w:val="single" w:color="auto" w:sz="4" w:space="0"/>
              <w:right w:val="single" w:color="auto" w:sz="4" w:space="0"/>
              <w:tl2br w:val="nil"/>
              <w:tr2bl w:val="nil"/>
            </w:tcBorders>
            <w:vAlign w:val="center"/>
          </w:tcPr>
          <w:p w14:paraId="157F7C76">
            <w:pPr>
              <w:widowControl/>
              <w:ind w:firstLine="0" w:firstLineChars="0"/>
              <w:rPr>
                <w:rFonts w:cs="宋体"/>
                <w:szCs w:val="24"/>
              </w:rPr>
            </w:pPr>
            <w:r>
              <w:rPr>
                <w:rFonts w:hint="eastAsia" w:cs="宋体"/>
                <w:szCs w:val="24"/>
              </w:rPr>
              <w:t>推式</w:t>
            </w:r>
          </w:p>
        </w:tc>
        <w:tc>
          <w:tcPr>
            <w:tcW w:w="1012" w:type="pct"/>
            <w:tcBorders>
              <w:top w:val="nil"/>
              <w:left w:val="nil"/>
              <w:bottom w:val="single" w:color="auto" w:sz="4" w:space="0"/>
              <w:right w:val="single" w:color="auto" w:sz="4" w:space="0"/>
              <w:tl2br w:val="nil"/>
              <w:tr2bl w:val="nil"/>
            </w:tcBorders>
            <w:vAlign w:val="center"/>
          </w:tcPr>
          <w:p w14:paraId="56D68A4B">
            <w:pPr>
              <w:widowControl/>
              <w:ind w:firstLine="0" w:firstLineChars="0"/>
              <w:rPr>
                <w:rFonts w:cs="宋体"/>
                <w:szCs w:val="24"/>
              </w:rPr>
            </w:pPr>
            <w:r>
              <w:rPr>
                <w:rFonts w:hint="eastAsia" w:cs="宋体"/>
                <w:szCs w:val="24"/>
              </w:rPr>
              <w:t>资产出库</w:t>
            </w:r>
          </w:p>
        </w:tc>
      </w:tr>
      <w:tr w14:paraId="67EE9DE1">
        <w:tblPrEx>
          <w:tblCellMar>
            <w:top w:w="0" w:type="dxa"/>
            <w:left w:w="108" w:type="dxa"/>
            <w:bottom w:w="0" w:type="dxa"/>
            <w:right w:w="108" w:type="dxa"/>
          </w:tblCellMar>
        </w:tblPrEx>
        <w:trPr>
          <w:trHeight w:val="240" w:hRule="atLeast"/>
        </w:trPr>
        <w:tc>
          <w:tcPr>
            <w:tcW w:w="471" w:type="pct"/>
            <w:tcBorders>
              <w:top w:val="nil"/>
              <w:left w:val="single" w:color="auto" w:sz="4" w:space="0"/>
              <w:bottom w:val="single" w:color="auto" w:sz="4" w:space="0"/>
              <w:right w:val="single" w:color="auto" w:sz="4" w:space="0"/>
              <w:tl2br w:val="nil"/>
              <w:tr2bl w:val="nil"/>
            </w:tcBorders>
            <w:vAlign w:val="center"/>
          </w:tcPr>
          <w:p w14:paraId="0F5AE97C">
            <w:pPr>
              <w:widowControl/>
              <w:ind w:firstLine="0" w:firstLineChars="0"/>
              <w:rPr>
                <w:rFonts w:cs="宋体"/>
                <w:szCs w:val="24"/>
              </w:rPr>
            </w:pPr>
            <w:r>
              <w:rPr>
                <w:rFonts w:hint="eastAsia" w:cs="宋体"/>
                <w:szCs w:val="24"/>
              </w:rPr>
              <w:t>18</w:t>
            </w:r>
          </w:p>
        </w:tc>
        <w:tc>
          <w:tcPr>
            <w:tcW w:w="1692" w:type="pct"/>
            <w:tcBorders>
              <w:top w:val="nil"/>
              <w:left w:val="nil"/>
              <w:bottom w:val="single" w:color="auto" w:sz="4" w:space="0"/>
              <w:right w:val="single" w:color="auto" w:sz="4" w:space="0"/>
              <w:tl2br w:val="nil"/>
              <w:tr2bl w:val="nil"/>
            </w:tcBorders>
            <w:vAlign w:val="center"/>
          </w:tcPr>
          <w:p w14:paraId="2DBBFB76">
            <w:pPr>
              <w:widowControl/>
              <w:ind w:firstLine="0" w:firstLineChars="0"/>
              <w:rPr>
                <w:rFonts w:cs="宋体"/>
                <w:szCs w:val="24"/>
              </w:rPr>
            </w:pPr>
            <w:r>
              <w:rPr>
                <w:rFonts w:hint="eastAsia" w:cs="宋体"/>
                <w:szCs w:val="24"/>
              </w:rPr>
              <w:t>资产盘亏出库</w:t>
            </w:r>
          </w:p>
        </w:tc>
        <w:tc>
          <w:tcPr>
            <w:tcW w:w="1079" w:type="pct"/>
            <w:tcBorders>
              <w:top w:val="nil"/>
              <w:left w:val="nil"/>
              <w:bottom w:val="single" w:color="auto" w:sz="4" w:space="0"/>
              <w:right w:val="single" w:color="auto" w:sz="4" w:space="0"/>
              <w:tl2br w:val="nil"/>
              <w:tr2bl w:val="nil"/>
            </w:tcBorders>
            <w:vAlign w:val="center"/>
          </w:tcPr>
          <w:p w14:paraId="1FAAA74D">
            <w:pPr>
              <w:widowControl/>
              <w:ind w:firstLine="0" w:firstLineChars="0"/>
              <w:rPr>
                <w:rFonts w:cs="宋体"/>
                <w:szCs w:val="24"/>
              </w:rPr>
            </w:pPr>
            <w:r>
              <w:rPr>
                <w:rFonts w:hint="eastAsia" w:cs="宋体"/>
                <w:szCs w:val="24"/>
              </w:rPr>
              <w:t>资产盘亏</w:t>
            </w:r>
          </w:p>
        </w:tc>
        <w:tc>
          <w:tcPr>
            <w:tcW w:w="743" w:type="pct"/>
            <w:tcBorders>
              <w:top w:val="nil"/>
              <w:left w:val="nil"/>
              <w:bottom w:val="single" w:color="auto" w:sz="4" w:space="0"/>
              <w:right w:val="single" w:color="auto" w:sz="4" w:space="0"/>
              <w:tl2br w:val="nil"/>
              <w:tr2bl w:val="nil"/>
            </w:tcBorders>
            <w:vAlign w:val="center"/>
          </w:tcPr>
          <w:p w14:paraId="70E0E8BF">
            <w:pPr>
              <w:widowControl/>
              <w:ind w:firstLine="0" w:firstLineChars="0"/>
              <w:rPr>
                <w:rFonts w:cs="宋体"/>
                <w:szCs w:val="24"/>
              </w:rPr>
            </w:pPr>
            <w:r>
              <w:rPr>
                <w:rFonts w:hint="eastAsia" w:cs="宋体"/>
                <w:szCs w:val="24"/>
              </w:rPr>
              <w:t>推式</w:t>
            </w:r>
          </w:p>
        </w:tc>
        <w:tc>
          <w:tcPr>
            <w:tcW w:w="1012" w:type="pct"/>
            <w:tcBorders>
              <w:top w:val="nil"/>
              <w:left w:val="nil"/>
              <w:bottom w:val="single" w:color="auto" w:sz="4" w:space="0"/>
              <w:right w:val="single" w:color="auto" w:sz="4" w:space="0"/>
              <w:tl2br w:val="nil"/>
              <w:tr2bl w:val="nil"/>
            </w:tcBorders>
            <w:vAlign w:val="center"/>
          </w:tcPr>
          <w:p w14:paraId="7F4DD4EE">
            <w:pPr>
              <w:widowControl/>
              <w:ind w:firstLine="0" w:firstLineChars="0"/>
              <w:rPr>
                <w:rFonts w:cs="宋体"/>
                <w:szCs w:val="24"/>
              </w:rPr>
            </w:pPr>
            <w:r>
              <w:rPr>
                <w:rFonts w:hint="eastAsia" w:cs="宋体"/>
                <w:szCs w:val="24"/>
              </w:rPr>
              <w:t>资产出库</w:t>
            </w:r>
          </w:p>
        </w:tc>
      </w:tr>
      <w:tr w14:paraId="0C9C5729">
        <w:tblPrEx>
          <w:tblCellMar>
            <w:top w:w="0" w:type="dxa"/>
            <w:left w:w="108" w:type="dxa"/>
            <w:bottom w:w="0" w:type="dxa"/>
            <w:right w:w="108" w:type="dxa"/>
          </w:tblCellMar>
        </w:tblPrEx>
        <w:trPr>
          <w:trHeight w:val="240" w:hRule="atLeast"/>
        </w:trPr>
        <w:tc>
          <w:tcPr>
            <w:tcW w:w="471" w:type="pct"/>
            <w:tcBorders>
              <w:top w:val="nil"/>
              <w:left w:val="single" w:color="auto" w:sz="4" w:space="0"/>
              <w:bottom w:val="single" w:color="auto" w:sz="4" w:space="0"/>
              <w:right w:val="single" w:color="auto" w:sz="4" w:space="0"/>
              <w:tl2br w:val="nil"/>
              <w:tr2bl w:val="nil"/>
            </w:tcBorders>
            <w:vAlign w:val="center"/>
          </w:tcPr>
          <w:p w14:paraId="482B9E79">
            <w:pPr>
              <w:widowControl/>
              <w:ind w:firstLine="0" w:firstLineChars="0"/>
              <w:rPr>
                <w:rFonts w:cs="宋体"/>
                <w:szCs w:val="24"/>
              </w:rPr>
            </w:pPr>
            <w:r>
              <w:rPr>
                <w:rFonts w:hint="eastAsia" w:cs="宋体"/>
                <w:szCs w:val="24"/>
              </w:rPr>
              <w:t>19</w:t>
            </w:r>
          </w:p>
        </w:tc>
        <w:tc>
          <w:tcPr>
            <w:tcW w:w="1692" w:type="pct"/>
            <w:tcBorders>
              <w:top w:val="nil"/>
              <w:left w:val="nil"/>
              <w:bottom w:val="single" w:color="auto" w:sz="4" w:space="0"/>
              <w:right w:val="single" w:color="auto" w:sz="4" w:space="0"/>
              <w:tl2br w:val="nil"/>
              <w:tr2bl w:val="nil"/>
            </w:tcBorders>
            <w:vAlign w:val="center"/>
          </w:tcPr>
          <w:p w14:paraId="4C6B6AB6">
            <w:pPr>
              <w:widowControl/>
              <w:ind w:firstLine="0" w:firstLineChars="0"/>
              <w:rPr>
                <w:rFonts w:cs="宋体"/>
                <w:szCs w:val="24"/>
              </w:rPr>
            </w:pPr>
            <w:r>
              <w:rPr>
                <w:rFonts w:hint="eastAsia" w:cs="宋体"/>
                <w:szCs w:val="24"/>
              </w:rPr>
              <w:t>工单领料-材料出库</w:t>
            </w:r>
          </w:p>
        </w:tc>
        <w:tc>
          <w:tcPr>
            <w:tcW w:w="1079" w:type="pct"/>
            <w:tcBorders>
              <w:top w:val="nil"/>
              <w:left w:val="nil"/>
              <w:bottom w:val="single" w:color="auto" w:sz="4" w:space="0"/>
              <w:right w:val="single" w:color="auto" w:sz="4" w:space="0"/>
              <w:tl2br w:val="nil"/>
              <w:tr2bl w:val="nil"/>
            </w:tcBorders>
            <w:vAlign w:val="center"/>
          </w:tcPr>
          <w:p w14:paraId="4FE9B164">
            <w:pPr>
              <w:widowControl/>
              <w:ind w:firstLine="0" w:firstLineChars="0"/>
              <w:rPr>
                <w:rFonts w:cs="宋体"/>
                <w:szCs w:val="24"/>
              </w:rPr>
            </w:pPr>
            <w:r>
              <w:rPr>
                <w:rFonts w:hint="eastAsia" w:cs="宋体"/>
                <w:szCs w:val="24"/>
              </w:rPr>
              <w:t>工单</w:t>
            </w:r>
          </w:p>
        </w:tc>
        <w:tc>
          <w:tcPr>
            <w:tcW w:w="743" w:type="pct"/>
            <w:tcBorders>
              <w:top w:val="nil"/>
              <w:left w:val="nil"/>
              <w:bottom w:val="single" w:color="auto" w:sz="4" w:space="0"/>
              <w:right w:val="single" w:color="auto" w:sz="4" w:space="0"/>
              <w:tl2br w:val="nil"/>
              <w:tr2bl w:val="nil"/>
            </w:tcBorders>
            <w:vAlign w:val="center"/>
          </w:tcPr>
          <w:p w14:paraId="53472B09">
            <w:pPr>
              <w:widowControl/>
              <w:ind w:firstLine="0" w:firstLineChars="0"/>
              <w:rPr>
                <w:rFonts w:cs="宋体"/>
                <w:szCs w:val="24"/>
              </w:rPr>
            </w:pPr>
            <w:r>
              <w:rPr>
                <w:rFonts w:hint="eastAsia" w:cs="宋体"/>
                <w:szCs w:val="24"/>
              </w:rPr>
              <w:t>推式</w:t>
            </w:r>
          </w:p>
        </w:tc>
        <w:tc>
          <w:tcPr>
            <w:tcW w:w="1012" w:type="pct"/>
            <w:tcBorders>
              <w:top w:val="nil"/>
              <w:left w:val="nil"/>
              <w:bottom w:val="single" w:color="auto" w:sz="4" w:space="0"/>
              <w:right w:val="single" w:color="auto" w:sz="4" w:space="0"/>
              <w:tl2br w:val="nil"/>
              <w:tr2bl w:val="nil"/>
            </w:tcBorders>
            <w:vAlign w:val="center"/>
          </w:tcPr>
          <w:p w14:paraId="6C4ACCB6">
            <w:pPr>
              <w:widowControl/>
              <w:ind w:firstLine="0" w:firstLineChars="0"/>
              <w:rPr>
                <w:rFonts w:cs="宋体"/>
                <w:szCs w:val="24"/>
              </w:rPr>
            </w:pPr>
            <w:r>
              <w:rPr>
                <w:rFonts w:hint="eastAsia" w:cs="宋体"/>
                <w:szCs w:val="24"/>
              </w:rPr>
              <w:t>材料出库单</w:t>
            </w:r>
          </w:p>
        </w:tc>
      </w:tr>
      <w:tr w14:paraId="3F945AF1">
        <w:tblPrEx>
          <w:tblCellMar>
            <w:top w:w="0" w:type="dxa"/>
            <w:left w:w="108" w:type="dxa"/>
            <w:bottom w:w="0" w:type="dxa"/>
            <w:right w:w="108" w:type="dxa"/>
          </w:tblCellMar>
        </w:tblPrEx>
        <w:trPr>
          <w:trHeight w:val="240" w:hRule="atLeast"/>
        </w:trPr>
        <w:tc>
          <w:tcPr>
            <w:tcW w:w="471" w:type="pct"/>
            <w:tcBorders>
              <w:top w:val="nil"/>
              <w:left w:val="single" w:color="auto" w:sz="4" w:space="0"/>
              <w:bottom w:val="single" w:color="auto" w:sz="4" w:space="0"/>
              <w:right w:val="single" w:color="auto" w:sz="4" w:space="0"/>
              <w:tl2br w:val="nil"/>
              <w:tr2bl w:val="nil"/>
            </w:tcBorders>
            <w:vAlign w:val="center"/>
          </w:tcPr>
          <w:p w14:paraId="64C868E1">
            <w:pPr>
              <w:widowControl/>
              <w:ind w:firstLine="0" w:firstLineChars="0"/>
              <w:rPr>
                <w:rFonts w:cs="宋体"/>
                <w:szCs w:val="24"/>
              </w:rPr>
            </w:pPr>
            <w:r>
              <w:rPr>
                <w:rFonts w:hint="eastAsia" w:cs="宋体"/>
                <w:szCs w:val="24"/>
              </w:rPr>
              <w:t>20</w:t>
            </w:r>
          </w:p>
        </w:tc>
        <w:tc>
          <w:tcPr>
            <w:tcW w:w="1692" w:type="pct"/>
            <w:tcBorders>
              <w:top w:val="nil"/>
              <w:left w:val="nil"/>
              <w:bottom w:val="single" w:color="auto" w:sz="4" w:space="0"/>
              <w:right w:val="single" w:color="auto" w:sz="4" w:space="0"/>
              <w:tl2br w:val="nil"/>
              <w:tr2bl w:val="nil"/>
            </w:tcBorders>
            <w:vAlign w:val="center"/>
          </w:tcPr>
          <w:p w14:paraId="776C6749">
            <w:pPr>
              <w:widowControl/>
              <w:ind w:firstLine="0" w:firstLineChars="0"/>
              <w:rPr>
                <w:rFonts w:cs="宋体"/>
                <w:szCs w:val="24"/>
              </w:rPr>
            </w:pPr>
            <w:r>
              <w:rPr>
                <w:rFonts w:hint="eastAsia" w:cs="宋体"/>
                <w:szCs w:val="24"/>
              </w:rPr>
              <w:t>工单管理-现存量查询</w:t>
            </w:r>
          </w:p>
        </w:tc>
        <w:tc>
          <w:tcPr>
            <w:tcW w:w="1079" w:type="pct"/>
            <w:tcBorders>
              <w:top w:val="nil"/>
              <w:left w:val="nil"/>
              <w:bottom w:val="single" w:color="auto" w:sz="4" w:space="0"/>
              <w:right w:val="single" w:color="auto" w:sz="4" w:space="0"/>
              <w:tl2br w:val="nil"/>
              <w:tr2bl w:val="nil"/>
            </w:tcBorders>
            <w:vAlign w:val="center"/>
          </w:tcPr>
          <w:p w14:paraId="14C35CC6">
            <w:pPr>
              <w:widowControl/>
              <w:ind w:firstLine="0" w:firstLineChars="0"/>
              <w:rPr>
                <w:rFonts w:cs="宋体"/>
                <w:szCs w:val="24"/>
              </w:rPr>
            </w:pPr>
            <w:r>
              <w:rPr>
                <w:rFonts w:hint="eastAsia" w:cs="宋体"/>
                <w:szCs w:val="24"/>
              </w:rPr>
              <w:t>工单</w:t>
            </w:r>
          </w:p>
        </w:tc>
        <w:tc>
          <w:tcPr>
            <w:tcW w:w="743" w:type="pct"/>
            <w:tcBorders>
              <w:top w:val="nil"/>
              <w:left w:val="nil"/>
              <w:bottom w:val="single" w:color="auto" w:sz="4" w:space="0"/>
              <w:right w:val="single" w:color="auto" w:sz="4" w:space="0"/>
              <w:tl2br w:val="nil"/>
              <w:tr2bl w:val="nil"/>
            </w:tcBorders>
            <w:vAlign w:val="center"/>
          </w:tcPr>
          <w:p w14:paraId="25CAD825">
            <w:pPr>
              <w:widowControl/>
              <w:ind w:firstLine="0" w:firstLineChars="0"/>
              <w:rPr>
                <w:rFonts w:cs="宋体"/>
                <w:szCs w:val="24"/>
              </w:rPr>
            </w:pPr>
            <w:r>
              <w:rPr>
                <w:rFonts w:hint="eastAsia" w:cs="宋体"/>
                <w:szCs w:val="24"/>
              </w:rPr>
              <w:t>拉式</w:t>
            </w:r>
          </w:p>
        </w:tc>
        <w:tc>
          <w:tcPr>
            <w:tcW w:w="1012" w:type="pct"/>
            <w:tcBorders>
              <w:top w:val="nil"/>
              <w:left w:val="nil"/>
              <w:bottom w:val="single" w:color="auto" w:sz="4" w:space="0"/>
              <w:right w:val="single" w:color="auto" w:sz="4" w:space="0"/>
              <w:tl2br w:val="nil"/>
              <w:tr2bl w:val="nil"/>
            </w:tcBorders>
            <w:vAlign w:val="center"/>
          </w:tcPr>
          <w:p w14:paraId="71D2D077">
            <w:pPr>
              <w:widowControl/>
              <w:ind w:firstLine="0" w:firstLineChars="0"/>
              <w:rPr>
                <w:rFonts w:cs="宋体"/>
                <w:szCs w:val="24"/>
              </w:rPr>
            </w:pPr>
            <w:r>
              <w:rPr>
                <w:rFonts w:hint="eastAsia" w:cs="宋体"/>
                <w:szCs w:val="24"/>
              </w:rPr>
              <w:t>查询现存量</w:t>
            </w:r>
          </w:p>
        </w:tc>
      </w:tr>
      <w:tr w14:paraId="13734D72">
        <w:tblPrEx>
          <w:tblCellMar>
            <w:top w:w="0" w:type="dxa"/>
            <w:left w:w="108" w:type="dxa"/>
            <w:bottom w:w="0" w:type="dxa"/>
            <w:right w:w="108" w:type="dxa"/>
          </w:tblCellMar>
        </w:tblPrEx>
        <w:trPr>
          <w:trHeight w:val="240" w:hRule="atLeast"/>
        </w:trPr>
        <w:tc>
          <w:tcPr>
            <w:tcW w:w="471" w:type="pct"/>
            <w:tcBorders>
              <w:top w:val="nil"/>
              <w:left w:val="single" w:color="auto" w:sz="4" w:space="0"/>
              <w:bottom w:val="single" w:color="auto" w:sz="4" w:space="0"/>
              <w:right w:val="single" w:color="auto" w:sz="4" w:space="0"/>
              <w:tl2br w:val="nil"/>
              <w:tr2bl w:val="nil"/>
            </w:tcBorders>
            <w:vAlign w:val="center"/>
          </w:tcPr>
          <w:p w14:paraId="3971B72D">
            <w:pPr>
              <w:widowControl/>
              <w:ind w:firstLine="0" w:firstLineChars="0"/>
              <w:rPr>
                <w:rFonts w:cs="宋体"/>
                <w:szCs w:val="24"/>
              </w:rPr>
            </w:pPr>
            <w:r>
              <w:rPr>
                <w:rFonts w:hint="eastAsia" w:cs="宋体"/>
                <w:szCs w:val="24"/>
              </w:rPr>
              <w:t>21</w:t>
            </w:r>
          </w:p>
        </w:tc>
        <w:tc>
          <w:tcPr>
            <w:tcW w:w="1692" w:type="pct"/>
            <w:tcBorders>
              <w:top w:val="nil"/>
              <w:left w:val="nil"/>
              <w:bottom w:val="single" w:color="auto" w:sz="4" w:space="0"/>
              <w:right w:val="single" w:color="auto" w:sz="4" w:space="0"/>
              <w:tl2br w:val="nil"/>
              <w:tr2bl w:val="nil"/>
            </w:tcBorders>
            <w:vAlign w:val="center"/>
          </w:tcPr>
          <w:p w14:paraId="5A8D1B34">
            <w:pPr>
              <w:widowControl/>
              <w:ind w:firstLine="0" w:firstLineChars="0"/>
              <w:rPr>
                <w:rFonts w:cs="宋体"/>
                <w:szCs w:val="24"/>
              </w:rPr>
            </w:pPr>
            <w:r>
              <w:rPr>
                <w:rFonts w:hint="eastAsia" w:cs="宋体"/>
                <w:szCs w:val="24"/>
              </w:rPr>
              <w:t>备件报废接口</w:t>
            </w:r>
          </w:p>
        </w:tc>
        <w:tc>
          <w:tcPr>
            <w:tcW w:w="1079" w:type="pct"/>
            <w:tcBorders>
              <w:top w:val="nil"/>
              <w:left w:val="nil"/>
              <w:bottom w:val="single" w:color="auto" w:sz="4" w:space="0"/>
              <w:right w:val="single" w:color="auto" w:sz="4" w:space="0"/>
              <w:tl2br w:val="nil"/>
              <w:tr2bl w:val="nil"/>
            </w:tcBorders>
            <w:vAlign w:val="center"/>
          </w:tcPr>
          <w:p w14:paraId="72597C45">
            <w:pPr>
              <w:widowControl/>
              <w:ind w:firstLine="0" w:firstLineChars="0"/>
              <w:rPr>
                <w:rFonts w:cs="宋体"/>
                <w:szCs w:val="24"/>
              </w:rPr>
            </w:pPr>
            <w:r>
              <w:rPr>
                <w:rFonts w:hint="eastAsia" w:cs="宋体"/>
                <w:szCs w:val="24"/>
              </w:rPr>
              <w:t>备件报废</w:t>
            </w:r>
          </w:p>
        </w:tc>
        <w:tc>
          <w:tcPr>
            <w:tcW w:w="743" w:type="pct"/>
            <w:tcBorders>
              <w:top w:val="nil"/>
              <w:left w:val="nil"/>
              <w:bottom w:val="single" w:color="auto" w:sz="4" w:space="0"/>
              <w:right w:val="single" w:color="auto" w:sz="4" w:space="0"/>
              <w:tl2br w:val="nil"/>
              <w:tr2bl w:val="nil"/>
            </w:tcBorders>
            <w:vAlign w:val="center"/>
          </w:tcPr>
          <w:p w14:paraId="6E014FDC">
            <w:pPr>
              <w:widowControl/>
              <w:ind w:firstLine="0" w:firstLineChars="0"/>
              <w:rPr>
                <w:rFonts w:cs="宋体"/>
                <w:szCs w:val="24"/>
              </w:rPr>
            </w:pPr>
            <w:r>
              <w:rPr>
                <w:rFonts w:hint="eastAsia" w:cs="宋体"/>
                <w:szCs w:val="24"/>
              </w:rPr>
              <w:t>推式</w:t>
            </w:r>
          </w:p>
        </w:tc>
        <w:tc>
          <w:tcPr>
            <w:tcW w:w="1012" w:type="pct"/>
            <w:tcBorders>
              <w:top w:val="nil"/>
              <w:left w:val="nil"/>
              <w:bottom w:val="single" w:color="auto" w:sz="4" w:space="0"/>
              <w:right w:val="single" w:color="auto" w:sz="4" w:space="0"/>
              <w:tl2br w:val="nil"/>
              <w:tr2bl w:val="nil"/>
            </w:tcBorders>
            <w:vAlign w:val="center"/>
          </w:tcPr>
          <w:p w14:paraId="4361A13C">
            <w:pPr>
              <w:widowControl/>
              <w:ind w:firstLine="0" w:firstLineChars="0"/>
              <w:rPr>
                <w:rFonts w:cs="宋体"/>
                <w:szCs w:val="24"/>
              </w:rPr>
            </w:pPr>
            <w:r>
              <w:rPr>
                <w:rFonts w:hint="eastAsia" w:cs="宋体"/>
                <w:szCs w:val="24"/>
              </w:rPr>
              <w:t>其他入库</w:t>
            </w:r>
          </w:p>
        </w:tc>
      </w:tr>
    </w:tbl>
    <w:p w14:paraId="496ECF4D">
      <w:pPr>
        <w:spacing w:line="360" w:lineRule="auto"/>
        <w:ind w:firstLine="480"/>
        <w:jc w:val="left"/>
        <w:rPr>
          <w:rFonts w:cs="宋体"/>
          <w:kern w:val="2"/>
          <w:szCs w:val="24"/>
        </w:rPr>
      </w:pPr>
    </w:p>
    <w:p w14:paraId="3B13A25A">
      <w:pPr>
        <w:spacing w:line="360" w:lineRule="auto"/>
        <w:ind w:firstLine="482"/>
        <w:outlineLvl w:val="3"/>
        <w:rPr>
          <w:rFonts w:cs="宋体"/>
          <w:b/>
          <w:kern w:val="2"/>
          <w:szCs w:val="24"/>
        </w:rPr>
      </w:pPr>
      <w:bookmarkStart w:id="319" w:name="_Toc16706"/>
      <w:bookmarkStart w:id="320" w:name="_Toc8614"/>
      <w:bookmarkStart w:id="321" w:name="_Toc16886"/>
      <w:bookmarkStart w:id="322" w:name="_Toc26947"/>
      <w:bookmarkStart w:id="323" w:name="_Toc1064"/>
      <w:bookmarkStart w:id="324" w:name="_Toc8429"/>
      <w:bookmarkStart w:id="325" w:name="_Toc320"/>
      <w:r>
        <w:rPr>
          <w:rFonts w:hint="eastAsia" w:cs="宋体"/>
          <w:b/>
          <w:kern w:val="2"/>
          <w:szCs w:val="24"/>
        </w:rPr>
        <w:t>9.2与集团财务系统接口</w:t>
      </w:r>
      <w:bookmarkEnd w:id="319"/>
      <w:bookmarkEnd w:id="320"/>
      <w:bookmarkEnd w:id="321"/>
      <w:bookmarkEnd w:id="322"/>
      <w:bookmarkEnd w:id="323"/>
      <w:bookmarkEnd w:id="324"/>
      <w:bookmarkEnd w:id="325"/>
    </w:p>
    <w:tbl>
      <w:tblPr>
        <w:tblStyle w:val="24"/>
        <w:tblW w:w="5000" w:type="pct"/>
        <w:tblInd w:w="0" w:type="dxa"/>
        <w:tblLayout w:type="autofit"/>
        <w:tblCellMar>
          <w:top w:w="0" w:type="dxa"/>
          <w:left w:w="108" w:type="dxa"/>
          <w:bottom w:w="0" w:type="dxa"/>
          <w:right w:w="108" w:type="dxa"/>
        </w:tblCellMar>
      </w:tblPr>
      <w:tblGrid>
        <w:gridCol w:w="721"/>
        <w:gridCol w:w="3341"/>
        <w:gridCol w:w="1891"/>
        <w:gridCol w:w="1308"/>
        <w:gridCol w:w="1930"/>
      </w:tblGrid>
      <w:tr w14:paraId="031DAAA0">
        <w:tblPrEx>
          <w:tblCellMar>
            <w:top w:w="0" w:type="dxa"/>
            <w:left w:w="108" w:type="dxa"/>
            <w:bottom w:w="0" w:type="dxa"/>
            <w:right w:w="108" w:type="dxa"/>
          </w:tblCellMar>
        </w:tblPrEx>
        <w:trPr>
          <w:trHeight w:val="312" w:hRule="atLeast"/>
        </w:trPr>
        <w:tc>
          <w:tcPr>
            <w:tcW w:w="392" w:type="pct"/>
            <w:tcBorders>
              <w:top w:val="single" w:color="auto" w:sz="4" w:space="0"/>
              <w:left w:val="single" w:color="auto" w:sz="4" w:space="0"/>
              <w:bottom w:val="single" w:color="auto" w:sz="4" w:space="0"/>
              <w:right w:val="single" w:color="auto" w:sz="4" w:space="0"/>
              <w:tl2br w:val="nil"/>
              <w:tr2bl w:val="nil"/>
            </w:tcBorders>
            <w:vAlign w:val="center"/>
          </w:tcPr>
          <w:p w14:paraId="7B482751">
            <w:pPr>
              <w:widowControl/>
              <w:ind w:firstLine="0" w:firstLineChars="0"/>
              <w:jc w:val="center"/>
              <w:rPr>
                <w:rFonts w:cs="宋体"/>
                <w:b/>
                <w:szCs w:val="24"/>
              </w:rPr>
            </w:pPr>
            <w:r>
              <w:rPr>
                <w:rFonts w:hint="eastAsia" w:cs="宋体"/>
                <w:b/>
                <w:szCs w:val="24"/>
              </w:rPr>
              <w:t>序号</w:t>
            </w:r>
          </w:p>
        </w:tc>
        <w:tc>
          <w:tcPr>
            <w:tcW w:w="1816" w:type="pct"/>
            <w:tcBorders>
              <w:top w:val="single" w:color="auto" w:sz="4" w:space="0"/>
              <w:left w:val="nil"/>
              <w:bottom w:val="single" w:color="auto" w:sz="4" w:space="0"/>
              <w:right w:val="single" w:color="auto" w:sz="4" w:space="0"/>
              <w:tl2br w:val="nil"/>
              <w:tr2bl w:val="nil"/>
            </w:tcBorders>
            <w:vAlign w:val="center"/>
          </w:tcPr>
          <w:p w14:paraId="1A19395A">
            <w:pPr>
              <w:widowControl/>
              <w:ind w:firstLine="0" w:firstLineChars="0"/>
              <w:jc w:val="center"/>
              <w:rPr>
                <w:rFonts w:cs="宋体"/>
                <w:b/>
                <w:szCs w:val="24"/>
              </w:rPr>
            </w:pPr>
            <w:r>
              <w:rPr>
                <w:rFonts w:hint="eastAsia" w:cs="宋体"/>
                <w:b/>
                <w:szCs w:val="24"/>
              </w:rPr>
              <w:t>接口名称</w:t>
            </w:r>
          </w:p>
        </w:tc>
        <w:tc>
          <w:tcPr>
            <w:tcW w:w="1028" w:type="pct"/>
            <w:tcBorders>
              <w:top w:val="single" w:color="auto" w:sz="4" w:space="0"/>
              <w:left w:val="nil"/>
              <w:bottom w:val="single" w:color="auto" w:sz="4" w:space="0"/>
              <w:right w:val="single" w:color="auto" w:sz="4" w:space="0"/>
              <w:tl2br w:val="nil"/>
              <w:tr2bl w:val="nil"/>
            </w:tcBorders>
            <w:vAlign w:val="center"/>
          </w:tcPr>
          <w:p w14:paraId="54B9ECF6">
            <w:pPr>
              <w:widowControl/>
              <w:ind w:firstLine="0" w:firstLineChars="0"/>
              <w:jc w:val="center"/>
              <w:rPr>
                <w:rFonts w:cs="宋体"/>
                <w:b/>
                <w:szCs w:val="24"/>
              </w:rPr>
            </w:pPr>
            <w:r>
              <w:rPr>
                <w:rFonts w:hint="eastAsia" w:cs="宋体"/>
                <w:b/>
                <w:szCs w:val="24"/>
              </w:rPr>
              <w:t>资产管理</w:t>
            </w:r>
          </w:p>
        </w:tc>
        <w:tc>
          <w:tcPr>
            <w:tcW w:w="711" w:type="pct"/>
            <w:tcBorders>
              <w:top w:val="single" w:color="auto" w:sz="4" w:space="0"/>
              <w:left w:val="nil"/>
              <w:bottom w:val="single" w:color="auto" w:sz="4" w:space="0"/>
              <w:right w:val="single" w:color="auto" w:sz="4" w:space="0"/>
              <w:tl2br w:val="nil"/>
              <w:tr2bl w:val="nil"/>
            </w:tcBorders>
            <w:vAlign w:val="center"/>
          </w:tcPr>
          <w:p w14:paraId="7BC48D34">
            <w:pPr>
              <w:widowControl/>
              <w:ind w:firstLine="0" w:firstLineChars="0"/>
              <w:jc w:val="center"/>
              <w:rPr>
                <w:rFonts w:cs="宋体"/>
                <w:b/>
                <w:szCs w:val="24"/>
              </w:rPr>
            </w:pPr>
            <w:r>
              <w:rPr>
                <w:rFonts w:hint="eastAsia" w:cs="宋体"/>
                <w:b/>
                <w:szCs w:val="24"/>
              </w:rPr>
              <w:t>接口模式</w:t>
            </w:r>
          </w:p>
        </w:tc>
        <w:tc>
          <w:tcPr>
            <w:tcW w:w="1049" w:type="pct"/>
            <w:tcBorders>
              <w:top w:val="single" w:color="auto" w:sz="4" w:space="0"/>
              <w:left w:val="nil"/>
              <w:bottom w:val="single" w:color="auto" w:sz="4" w:space="0"/>
              <w:right w:val="single" w:color="auto" w:sz="4" w:space="0"/>
              <w:tl2br w:val="nil"/>
              <w:tr2bl w:val="nil"/>
            </w:tcBorders>
            <w:vAlign w:val="center"/>
          </w:tcPr>
          <w:p w14:paraId="3E69FD0D">
            <w:pPr>
              <w:widowControl/>
              <w:ind w:firstLine="0" w:firstLineChars="0"/>
              <w:jc w:val="center"/>
              <w:rPr>
                <w:rFonts w:cs="宋体"/>
                <w:b/>
                <w:szCs w:val="24"/>
              </w:rPr>
            </w:pPr>
            <w:r>
              <w:rPr>
                <w:rFonts w:hint="eastAsia" w:cs="宋体"/>
                <w:b/>
                <w:szCs w:val="24"/>
              </w:rPr>
              <w:t>固定资产管理</w:t>
            </w:r>
          </w:p>
        </w:tc>
      </w:tr>
      <w:tr w14:paraId="73BD5B01">
        <w:tblPrEx>
          <w:tblCellMar>
            <w:top w:w="0" w:type="dxa"/>
            <w:left w:w="108" w:type="dxa"/>
            <w:bottom w:w="0" w:type="dxa"/>
            <w:right w:w="108" w:type="dxa"/>
          </w:tblCellMar>
        </w:tblPrEx>
        <w:trPr>
          <w:trHeight w:val="58" w:hRule="atLeast"/>
        </w:trPr>
        <w:tc>
          <w:tcPr>
            <w:tcW w:w="392" w:type="pct"/>
            <w:tcBorders>
              <w:top w:val="nil"/>
              <w:left w:val="single" w:color="auto" w:sz="4" w:space="0"/>
              <w:bottom w:val="single" w:color="auto" w:sz="4" w:space="0"/>
              <w:right w:val="single" w:color="auto" w:sz="4" w:space="0"/>
              <w:tl2br w:val="nil"/>
              <w:tr2bl w:val="nil"/>
            </w:tcBorders>
            <w:vAlign w:val="center"/>
          </w:tcPr>
          <w:p w14:paraId="242779DE">
            <w:pPr>
              <w:widowControl/>
              <w:ind w:firstLine="0" w:firstLineChars="0"/>
              <w:rPr>
                <w:rFonts w:cs="宋体"/>
                <w:szCs w:val="24"/>
              </w:rPr>
            </w:pPr>
            <w:r>
              <w:rPr>
                <w:rFonts w:hint="eastAsia" w:cs="宋体"/>
                <w:szCs w:val="24"/>
              </w:rPr>
              <w:t>1</w:t>
            </w:r>
          </w:p>
        </w:tc>
        <w:tc>
          <w:tcPr>
            <w:tcW w:w="1816" w:type="pct"/>
            <w:tcBorders>
              <w:top w:val="nil"/>
              <w:left w:val="nil"/>
              <w:bottom w:val="single" w:color="auto" w:sz="4" w:space="0"/>
              <w:right w:val="single" w:color="auto" w:sz="4" w:space="0"/>
              <w:tl2br w:val="nil"/>
              <w:tr2bl w:val="nil"/>
            </w:tcBorders>
            <w:vAlign w:val="center"/>
          </w:tcPr>
          <w:p w14:paraId="197B06E8">
            <w:pPr>
              <w:widowControl/>
              <w:ind w:firstLine="0" w:firstLineChars="0"/>
              <w:rPr>
                <w:rFonts w:cs="宋体"/>
                <w:szCs w:val="24"/>
              </w:rPr>
            </w:pPr>
            <w:r>
              <w:rPr>
                <w:rFonts w:hint="eastAsia" w:cs="宋体"/>
                <w:szCs w:val="24"/>
              </w:rPr>
              <w:t>设备卡片生成固定资产卡片</w:t>
            </w:r>
          </w:p>
        </w:tc>
        <w:tc>
          <w:tcPr>
            <w:tcW w:w="1028" w:type="pct"/>
            <w:tcBorders>
              <w:top w:val="nil"/>
              <w:left w:val="nil"/>
              <w:bottom w:val="single" w:color="auto" w:sz="4" w:space="0"/>
              <w:right w:val="single" w:color="auto" w:sz="4" w:space="0"/>
              <w:tl2br w:val="nil"/>
              <w:tr2bl w:val="nil"/>
            </w:tcBorders>
            <w:vAlign w:val="center"/>
          </w:tcPr>
          <w:p w14:paraId="1FC4A0D0">
            <w:pPr>
              <w:widowControl/>
              <w:ind w:firstLine="0" w:firstLineChars="0"/>
              <w:rPr>
                <w:rFonts w:cs="宋体"/>
                <w:szCs w:val="24"/>
              </w:rPr>
            </w:pPr>
            <w:r>
              <w:rPr>
                <w:rFonts w:hint="eastAsia" w:cs="宋体"/>
                <w:szCs w:val="24"/>
              </w:rPr>
              <w:t>资产卡片</w:t>
            </w:r>
          </w:p>
        </w:tc>
        <w:tc>
          <w:tcPr>
            <w:tcW w:w="711" w:type="pct"/>
            <w:tcBorders>
              <w:top w:val="nil"/>
              <w:left w:val="nil"/>
              <w:bottom w:val="single" w:color="auto" w:sz="4" w:space="0"/>
              <w:right w:val="single" w:color="auto" w:sz="4" w:space="0"/>
              <w:tl2br w:val="nil"/>
              <w:tr2bl w:val="nil"/>
            </w:tcBorders>
            <w:vAlign w:val="center"/>
          </w:tcPr>
          <w:p w14:paraId="555A1DAF">
            <w:pPr>
              <w:widowControl/>
              <w:ind w:firstLine="0" w:firstLineChars="0"/>
              <w:rPr>
                <w:rFonts w:cs="宋体"/>
                <w:szCs w:val="24"/>
              </w:rPr>
            </w:pPr>
            <w:r>
              <w:rPr>
                <w:rFonts w:hint="eastAsia" w:cs="宋体"/>
                <w:szCs w:val="24"/>
              </w:rPr>
              <w:t>　</w:t>
            </w:r>
          </w:p>
        </w:tc>
        <w:tc>
          <w:tcPr>
            <w:tcW w:w="1049" w:type="pct"/>
            <w:tcBorders>
              <w:top w:val="nil"/>
              <w:left w:val="nil"/>
              <w:bottom w:val="single" w:color="auto" w:sz="4" w:space="0"/>
              <w:right w:val="single" w:color="auto" w:sz="4" w:space="0"/>
              <w:tl2br w:val="nil"/>
              <w:tr2bl w:val="nil"/>
            </w:tcBorders>
            <w:vAlign w:val="center"/>
          </w:tcPr>
          <w:p w14:paraId="7D319F68">
            <w:pPr>
              <w:widowControl/>
              <w:ind w:firstLine="0" w:firstLineChars="0"/>
              <w:rPr>
                <w:rFonts w:cs="宋体"/>
                <w:szCs w:val="24"/>
              </w:rPr>
            </w:pPr>
            <w:r>
              <w:rPr>
                <w:rFonts w:hint="eastAsia" w:cs="宋体"/>
                <w:szCs w:val="24"/>
              </w:rPr>
              <w:t>固定资产卡片</w:t>
            </w:r>
          </w:p>
        </w:tc>
      </w:tr>
      <w:tr w14:paraId="4BB3EDFD">
        <w:tblPrEx>
          <w:tblCellMar>
            <w:top w:w="0" w:type="dxa"/>
            <w:left w:w="108" w:type="dxa"/>
            <w:bottom w:w="0" w:type="dxa"/>
            <w:right w:w="108" w:type="dxa"/>
          </w:tblCellMar>
        </w:tblPrEx>
        <w:trPr>
          <w:trHeight w:val="312" w:hRule="atLeast"/>
        </w:trPr>
        <w:tc>
          <w:tcPr>
            <w:tcW w:w="392" w:type="pct"/>
            <w:tcBorders>
              <w:top w:val="nil"/>
              <w:left w:val="single" w:color="auto" w:sz="4" w:space="0"/>
              <w:bottom w:val="single" w:color="auto" w:sz="4" w:space="0"/>
              <w:right w:val="single" w:color="auto" w:sz="4" w:space="0"/>
              <w:tl2br w:val="nil"/>
              <w:tr2bl w:val="nil"/>
            </w:tcBorders>
            <w:vAlign w:val="center"/>
          </w:tcPr>
          <w:p w14:paraId="425929E1">
            <w:pPr>
              <w:widowControl/>
              <w:ind w:firstLine="0" w:firstLineChars="0"/>
              <w:rPr>
                <w:rFonts w:cs="宋体"/>
                <w:szCs w:val="24"/>
              </w:rPr>
            </w:pPr>
            <w:r>
              <w:rPr>
                <w:rFonts w:hint="eastAsia" w:cs="宋体"/>
                <w:szCs w:val="24"/>
              </w:rPr>
              <w:t>2</w:t>
            </w:r>
          </w:p>
        </w:tc>
        <w:tc>
          <w:tcPr>
            <w:tcW w:w="1816" w:type="pct"/>
            <w:tcBorders>
              <w:top w:val="nil"/>
              <w:left w:val="nil"/>
              <w:bottom w:val="single" w:color="auto" w:sz="4" w:space="0"/>
              <w:right w:val="single" w:color="auto" w:sz="4" w:space="0"/>
              <w:tl2br w:val="nil"/>
              <w:tr2bl w:val="nil"/>
            </w:tcBorders>
            <w:vAlign w:val="center"/>
          </w:tcPr>
          <w:p w14:paraId="71A86198">
            <w:pPr>
              <w:widowControl/>
              <w:ind w:firstLine="0" w:firstLineChars="0"/>
              <w:rPr>
                <w:rFonts w:cs="宋体"/>
                <w:szCs w:val="24"/>
              </w:rPr>
            </w:pPr>
            <w:r>
              <w:rPr>
                <w:rFonts w:hint="eastAsia" w:cs="宋体"/>
                <w:szCs w:val="24"/>
              </w:rPr>
              <w:t>资产借用生成固定资产变动单</w:t>
            </w:r>
          </w:p>
        </w:tc>
        <w:tc>
          <w:tcPr>
            <w:tcW w:w="1028" w:type="pct"/>
            <w:tcBorders>
              <w:top w:val="nil"/>
              <w:left w:val="nil"/>
              <w:bottom w:val="single" w:color="auto" w:sz="4" w:space="0"/>
              <w:right w:val="single" w:color="auto" w:sz="4" w:space="0"/>
              <w:tl2br w:val="nil"/>
              <w:tr2bl w:val="nil"/>
            </w:tcBorders>
            <w:vAlign w:val="center"/>
          </w:tcPr>
          <w:p w14:paraId="63B501A6">
            <w:pPr>
              <w:widowControl/>
              <w:ind w:firstLine="0" w:firstLineChars="0"/>
              <w:rPr>
                <w:rFonts w:cs="宋体"/>
                <w:szCs w:val="24"/>
              </w:rPr>
            </w:pPr>
            <w:r>
              <w:rPr>
                <w:rFonts w:hint="eastAsia" w:cs="宋体"/>
                <w:szCs w:val="24"/>
              </w:rPr>
              <w:t>资产借用</w:t>
            </w:r>
          </w:p>
        </w:tc>
        <w:tc>
          <w:tcPr>
            <w:tcW w:w="711" w:type="pct"/>
            <w:tcBorders>
              <w:top w:val="nil"/>
              <w:left w:val="nil"/>
              <w:bottom w:val="single" w:color="auto" w:sz="4" w:space="0"/>
              <w:right w:val="single" w:color="auto" w:sz="4" w:space="0"/>
              <w:tl2br w:val="nil"/>
              <w:tr2bl w:val="nil"/>
            </w:tcBorders>
            <w:vAlign w:val="center"/>
          </w:tcPr>
          <w:p w14:paraId="320D19D8">
            <w:pPr>
              <w:widowControl/>
              <w:ind w:firstLine="0" w:firstLineChars="0"/>
              <w:rPr>
                <w:rFonts w:cs="宋体"/>
                <w:szCs w:val="24"/>
              </w:rPr>
            </w:pPr>
            <w:r>
              <w:rPr>
                <w:rFonts w:hint="eastAsia" w:cs="宋体"/>
                <w:szCs w:val="24"/>
              </w:rPr>
              <w:t>推式</w:t>
            </w:r>
          </w:p>
        </w:tc>
        <w:tc>
          <w:tcPr>
            <w:tcW w:w="1049" w:type="pct"/>
            <w:tcBorders>
              <w:top w:val="nil"/>
              <w:left w:val="nil"/>
              <w:bottom w:val="single" w:color="auto" w:sz="4" w:space="0"/>
              <w:right w:val="single" w:color="auto" w:sz="4" w:space="0"/>
              <w:tl2br w:val="nil"/>
              <w:tr2bl w:val="nil"/>
            </w:tcBorders>
            <w:vAlign w:val="center"/>
          </w:tcPr>
          <w:p w14:paraId="3BA53375">
            <w:pPr>
              <w:widowControl/>
              <w:ind w:firstLine="0" w:firstLineChars="0"/>
              <w:rPr>
                <w:rFonts w:cs="宋体"/>
                <w:szCs w:val="24"/>
              </w:rPr>
            </w:pPr>
            <w:r>
              <w:rPr>
                <w:rFonts w:hint="eastAsia" w:cs="宋体"/>
                <w:szCs w:val="24"/>
              </w:rPr>
              <w:t>固定资产变动</w:t>
            </w:r>
          </w:p>
        </w:tc>
      </w:tr>
      <w:tr w14:paraId="67BADB6A">
        <w:tblPrEx>
          <w:tblCellMar>
            <w:top w:w="0" w:type="dxa"/>
            <w:left w:w="108" w:type="dxa"/>
            <w:bottom w:w="0" w:type="dxa"/>
            <w:right w:w="108" w:type="dxa"/>
          </w:tblCellMar>
        </w:tblPrEx>
        <w:trPr>
          <w:trHeight w:val="312" w:hRule="atLeast"/>
        </w:trPr>
        <w:tc>
          <w:tcPr>
            <w:tcW w:w="392" w:type="pct"/>
            <w:tcBorders>
              <w:top w:val="nil"/>
              <w:left w:val="single" w:color="auto" w:sz="4" w:space="0"/>
              <w:bottom w:val="single" w:color="auto" w:sz="4" w:space="0"/>
              <w:right w:val="single" w:color="auto" w:sz="4" w:space="0"/>
              <w:tl2br w:val="nil"/>
              <w:tr2bl w:val="nil"/>
            </w:tcBorders>
            <w:vAlign w:val="center"/>
          </w:tcPr>
          <w:p w14:paraId="50BDDE9F">
            <w:pPr>
              <w:widowControl/>
              <w:ind w:firstLine="0" w:firstLineChars="0"/>
              <w:rPr>
                <w:rFonts w:cs="宋体"/>
                <w:szCs w:val="24"/>
              </w:rPr>
            </w:pPr>
            <w:r>
              <w:rPr>
                <w:rFonts w:hint="eastAsia" w:cs="宋体"/>
                <w:szCs w:val="24"/>
              </w:rPr>
              <w:t>3</w:t>
            </w:r>
          </w:p>
        </w:tc>
        <w:tc>
          <w:tcPr>
            <w:tcW w:w="1816" w:type="pct"/>
            <w:tcBorders>
              <w:top w:val="nil"/>
              <w:left w:val="nil"/>
              <w:bottom w:val="single" w:color="auto" w:sz="4" w:space="0"/>
              <w:right w:val="single" w:color="auto" w:sz="4" w:space="0"/>
              <w:tl2br w:val="nil"/>
              <w:tr2bl w:val="nil"/>
            </w:tcBorders>
            <w:vAlign w:val="center"/>
          </w:tcPr>
          <w:p w14:paraId="1F126031">
            <w:pPr>
              <w:widowControl/>
              <w:ind w:firstLine="0" w:firstLineChars="0"/>
              <w:rPr>
                <w:rFonts w:cs="宋体"/>
                <w:szCs w:val="24"/>
              </w:rPr>
            </w:pPr>
            <w:r>
              <w:rPr>
                <w:rFonts w:hint="eastAsia" w:cs="宋体"/>
                <w:szCs w:val="24"/>
              </w:rPr>
              <w:t>资产借用归还生成固定资产变动单</w:t>
            </w:r>
          </w:p>
        </w:tc>
        <w:tc>
          <w:tcPr>
            <w:tcW w:w="1028" w:type="pct"/>
            <w:tcBorders>
              <w:top w:val="nil"/>
              <w:left w:val="nil"/>
              <w:bottom w:val="single" w:color="auto" w:sz="4" w:space="0"/>
              <w:right w:val="single" w:color="auto" w:sz="4" w:space="0"/>
              <w:tl2br w:val="nil"/>
              <w:tr2bl w:val="nil"/>
            </w:tcBorders>
            <w:vAlign w:val="center"/>
          </w:tcPr>
          <w:p w14:paraId="1F00F6E5">
            <w:pPr>
              <w:widowControl/>
              <w:ind w:firstLine="0" w:firstLineChars="0"/>
              <w:rPr>
                <w:rFonts w:cs="宋体"/>
                <w:szCs w:val="24"/>
              </w:rPr>
            </w:pPr>
            <w:r>
              <w:rPr>
                <w:rFonts w:hint="eastAsia" w:cs="宋体"/>
                <w:szCs w:val="24"/>
              </w:rPr>
              <w:t>资产借用归还</w:t>
            </w:r>
          </w:p>
        </w:tc>
        <w:tc>
          <w:tcPr>
            <w:tcW w:w="711" w:type="pct"/>
            <w:tcBorders>
              <w:top w:val="nil"/>
              <w:left w:val="nil"/>
              <w:bottom w:val="single" w:color="auto" w:sz="4" w:space="0"/>
              <w:right w:val="single" w:color="auto" w:sz="4" w:space="0"/>
              <w:tl2br w:val="nil"/>
              <w:tr2bl w:val="nil"/>
            </w:tcBorders>
          </w:tcPr>
          <w:p w14:paraId="030C606C">
            <w:pPr>
              <w:widowControl/>
              <w:ind w:firstLine="0" w:firstLineChars="0"/>
              <w:rPr>
                <w:rFonts w:cs="宋体"/>
                <w:szCs w:val="24"/>
              </w:rPr>
            </w:pPr>
            <w:r>
              <w:rPr>
                <w:rFonts w:hint="eastAsia" w:cs="宋体"/>
                <w:szCs w:val="24"/>
              </w:rPr>
              <w:t>推式</w:t>
            </w:r>
          </w:p>
        </w:tc>
        <w:tc>
          <w:tcPr>
            <w:tcW w:w="1049" w:type="pct"/>
            <w:tcBorders>
              <w:top w:val="nil"/>
              <w:left w:val="nil"/>
              <w:bottom w:val="single" w:color="auto" w:sz="4" w:space="0"/>
              <w:right w:val="single" w:color="auto" w:sz="4" w:space="0"/>
              <w:tl2br w:val="nil"/>
              <w:tr2bl w:val="nil"/>
            </w:tcBorders>
            <w:vAlign w:val="center"/>
          </w:tcPr>
          <w:p w14:paraId="0CDBCFAD">
            <w:pPr>
              <w:widowControl/>
              <w:ind w:firstLine="0" w:firstLineChars="0"/>
              <w:rPr>
                <w:rFonts w:cs="宋体"/>
                <w:szCs w:val="24"/>
              </w:rPr>
            </w:pPr>
            <w:r>
              <w:rPr>
                <w:rFonts w:hint="eastAsia" w:cs="宋体"/>
                <w:szCs w:val="24"/>
              </w:rPr>
              <w:t>固定资产变动</w:t>
            </w:r>
          </w:p>
        </w:tc>
      </w:tr>
      <w:tr w14:paraId="7AC40EEC">
        <w:tblPrEx>
          <w:tblCellMar>
            <w:top w:w="0" w:type="dxa"/>
            <w:left w:w="108" w:type="dxa"/>
            <w:bottom w:w="0" w:type="dxa"/>
            <w:right w:w="108" w:type="dxa"/>
          </w:tblCellMar>
        </w:tblPrEx>
        <w:trPr>
          <w:trHeight w:val="312" w:hRule="atLeast"/>
        </w:trPr>
        <w:tc>
          <w:tcPr>
            <w:tcW w:w="392" w:type="pct"/>
            <w:tcBorders>
              <w:top w:val="nil"/>
              <w:left w:val="single" w:color="auto" w:sz="4" w:space="0"/>
              <w:bottom w:val="single" w:color="auto" w:sz="4" w:space="0"/>
              <w:right w:val="single" w:color="auto" w:sz="4" w:space="0"/>
              <w:tl2br w:val="nil"/>
              <w:tr2bl w:val="nil"/>
            </w:tcBorders>
            <w:vAlign w:val="center"/>
          </w:tcPr>
          <w:p w14:paraId="068071DB">
            <w:pPr>
              <w:widowControl/>
              <w:ind w:firstLine="0" w:firstLineChars="0"/>
              <w:rPr>
                <w:rFonts w:cs="宋体"/>
                <w:szCs w:val="24"/>
              </w:rPr>
            </w:pPr>
            <w:r>
              <w:rPr>
                <w:rFonts w:hint="eastAsia" w:cs="宋体"/>
                <w:szCs w:val="24"/>
              </w:rPr>
              <w:t>4</w:t>
            </w:r>
          </w:p>
        </w:tc>
        <w:tc>
          <w:tcPr>
            <w:tcW w:w="1816" w:type="pct"/>
            <w:tcBorders>
              <w:top w:val="nil"/>
              <w:left w:val="nil"/>
              <w:bottom w:val="single" w:color="auto" w:sz="4" w:space="0"/>
              <w:right w:val="single" w:color="auto" w:sz="4" w:space="0"/>
              <w:tl2br w:val="nil"/>
              <w:tr2bl w:val="nil"/>
            </w:tcBorders>
            <w:vAlign w:val="center"/>
          </w:tcPr>
          <w:p w14:paraId="089C8886">
            <w:pPr>
              <w:widowControl/>
              <w:ind w:firstLine="0" w:firstLineChars="0"/>
              <w:rPr>
                <w:rFonts w:cs="宋体"/>
                <w:szCs w:val="24"/>
              </w:rPr>
            </w:pPr>
            <w:r>
              <w:rPr>
                <w:rFonts w:hint="eastAsia" w:cs="宋体"/>
                <w:szCs w:val="24"/>
              </w:rPr>
              <w:t>资产领用生成固定资产变动单</w:t>
            </w:r>
          </w:p>
        </w:tc>
        <w:tc>
          <w:tcPr>
            <w:tcW w:w="1028" w:type="pct"/>
            <w:tcBorders>
              <w:top w:val="nil"/>
              <w:left w:val="nil"/>
              <w:bottom w:val="single" w:color="auto" w:sz="4" w:space="0"/>
              <w:right w:val="single" w:color="auto" w:sz="4" w:space="0"/>
              <w:tl2br w:val="nil"/>
              <w:tr2bl w:val="nil"/>
            </w:tcBorders>
            <w:vAlign w:val="center"/>
          </w:tcPr>
          <w:p w14:paraId="782E255D">
            <w:pPr>
              <w:widowControl/>
              <w:ind w:firstLine="0" w:firstLineChars="0"/>
              <w:rPr>
                <w:rFonts w:cs="宋体"/>
                <w:szCs w:val="24"/>
              </w:rPr>
            </w:pPr>
            <w:r>
              <w:rPr>
                <w:rFonts w:hint="eastAsia" w:cs="宋体"/>
                <w:szCs w:val="24"/>
              </w:rPr>
              <w:t>资产领用</w:t>
            </w:r>
          </w:p>
        </w:tc>
        <w:tc>
          <w:tcPr>
            <w:tcW w:w="711" w:type="pct"/>
            <w:tcBorders>
              <w:top w:val="nil"/>
              <w:left w:val="nil"/>
              <w:bottom w:val="single" w:color="auto" w:sz="4" w:space="0"/>
              <w:right w:val="single" w:color="auto" w:sz="4" w:space="0"/>
              <w:tl2br w:val="nil"/>
              <w:tr2bl w:val="nil"/>
            </w:tcBorders>
          </w:tcPr>
          <w:p w14:paraId="1D5C52D4">
            <w:pPr>
              <w:widowControl/>
              <w:ind w:firstLine="0" w:firstLineChars="0"/>
              <w:rPr>
                <w:rFonts w:cs="宋体"/>
                <w:szCs w:val="24"/>
              </w:rPr>
            </w:pPr>
            <w:r>
              <w:rPr>
                <w:rFonts w:hint="eastAsia" w:cs="宋体"/>
                <w:szCs w:val="24"/>
              </w:rPr>
              <w:t>推式</w:t>
            </w:r>
          </w:p>
        </w:tc>
        <w:tc>
          <w:tcPr>
            <w:tcW w:w="1049" w:type="pct"/>
            <w:tcBorders>
              <w:top w:val="nil"/>
              <w:left w:val="nil"/>
              <w:bottom w:val="single" w:color="auto" w:sz="4" w:space="0"/>
              <w:right w:val="single" w:color="auto" w:sz="4" w:space="0"/>
              <w:tl2br w:val="nil"/>
              <w:tr2bl w:val="nil"/>
            </w:tcBorders>
            <w:vAlign w:val="center"/>
          </w:tcPr>
          <w:p w14:paraId="79E2542C">
            <w:pPr>
              <w:widowControl/>
              <w:ind w:firstLine="0" w:firstLineChars="0"/>
              <w:rPr>
                <w:rFonts w:cs="宋体"/>
                <w:szCs w:val="24"/>
              </w:rPr>
            </w:pPr>
            <w:r>
              <w:rPr>
                <w:rFonts w:hint="eastAsia" w:cs="宋体"/>
                <w:szCs w:val="24"/>
              </w:rPr>
              <w:t>固定资产变动</w:t>
            </w:r>
          </w:p>
        </w:tc>
      </w:tr>
      <w:tr w14:paraId="62E561C7">
        <w:tblPrEx>
          <w:tblCellMar>
            <w:top w:w="0" w:type="dxa"/>
            <w:left w:w="108" w:type="dxa"/>
            <w:bottom w:w="0" w:type="dxa"/>
            <w:right w:w="108" w:type="dxa"/>
          </w:tblCellMar>
        </w:tblPrEx>
        <w:trPr>
          <w:trHeight w:val="312" w:hRule="atLeast"/>
        </w:trPr>
        <w:tc>
          <w:tcPr>
            <w:tcW w:w="392" w:type="pct"/>
            <w:tcBorders>
              <w:top w:val="nil"/>
              <w:left w:val="single" w:color="auto" w:sz="4" w:space="0"/>
              <w:bottom w:val="single" w:color="auto" w:sz="4" w:space="0"/>
              <w:right w:val="single" w:color="auto" w:sz="4" w:space="0"/>
              <w:tl2br w:val="nil"/>
              <w:tr2bl w:val="nil"/>
            </w:tcBorders>
            <w:vAlign w:val="center"/>
          </w:tcPr>
          <w:p w14:paraId="4E7D6626">
            <w:pPr>
              <w:widowControl/>
              <w:ind w:firstLine="0" w:firstLineChars="0"/>
              <w:rPr>
                <w:rFonts w:cs="宋体"/>
                <w:szCs w:val="24"/>
              </w:rPr>
            </w:pPr>
            <w:r>
              <w:rPr>
                <w:rFonts w:hint="eastAsia" w:cs="宋体"/>
                <w:szCs w:val="24"/>
              </w:rPr>
              <w:t>5</w:t>
            </w:r>
          </w:p>
        </w:tc>
        <w:tc>
          <w:tcPr>
            <w:tcW w:w="1816" w:type="pct"/>
            <w:tcBorders>
              <w:top w:val="nil"/>
              <w:left w:val="nil"/>
              <w:bottom w:val="single" w:color="auto" w:sz="4" w:space="0"/>
              <w:right w:val="single" w:color="auto" w:sz="4" w:space="0"/>
              <w:tl2br w:val="nil"/>
              <w:tr2bl w:val="nil"/>
            </w:tcBorders>
            <w:vAlign w:val="center"/>
          </w:tcPr>
          <w:p w14:paraId="3BC4A7BB">
            <w:pPr>
              <w:widowControl/>
              <w:ind w:firstLine="0" w:firstLineChars="0"/>
              <w:rPr>
                <w:rFonts w:cs="宋体"/>
                <w:szCs w:val="24"/>
              </w:rPr>
            </w:pPr>
            <w:r>
              <w:rPr>
                <w:rFonts w:hint="eastAsia" w:cs="宋体"/>
                <w:szCs w:val="24"/>
              </w:rPr>
              <w:t>资产领用归还生成固定资产变动单</w:t>
            </w:r>
          </w:p>
        </w:tc>
        <w:tc>
          <w:tcPr>
            <w:tcW w:w="1028" w:type="pct"/>
            <w:tcBorders>
              <w:top w:val="nil"/>
              <w:left w:val="nil"/>
              <w:bottom w:val="single" w:color="auto" w:sz="4" w:space="0"/>
              <w:right w:val="single" w:color="auto" w:sz="4" w:space="0"/>
              <w:tl2br w:val="nil"/>
              <w:tr2bl w:val="nil"/>
            </w:tcBorders>
            <w:vAlign w:val="center"/>
          </w:tcPr>
          <w:p w14:paraId="0263884E">
            <w:pPr>
              <w:widowControl/>
              <w:ind w:firstLine="0" w:firstLineChars="0"/>
              <w:rPr>
                <w:rFonts w:cs="宋体"/>
                <w:szCs w:val="24"/>
              </w:rPr>
            </w:pPr>
            <w:r>
              <w:rPr>
                <w:rFonts w:hint="eastAsia" w:cs="宋体"/>
                <w:szCs w:val="24"/>
              </w:rPr>
              <w:t>资产领用归还</w:t>
            </w:r>
          </w:p>
        </w:tc>
        <w:tc>
          <w:tcPr>
            <w:tcW w:w="711" w:type="pct"/>
            <w:tcBorders>
              <w:top w:val="nil"/>
              <w:left w:val="nil"/>
              <w:bottom w:val="single" w:color="auto" w:sz="4" w:space="0"/>
              <w:right w:val="single" w:color="auto" w:sz="4" w:space="0"/>
              <w:tl2br w:val="nil"/>
              <w:tr2bl w:val="nil"/>
            </w:tcBorders>
          </w:tcPr>
          <w:p w14:paraId="3F70C3DF">
            <w:pPr>
              <w:widowControl/>
              <w:ind w:firstLine="0" w:firstLineChars="0"/>
              <w:rPr>
                <w:rFonts w:cs="宋体"/>
                <w:szCs w:val="24"/>
              </w:rPr>
            </w:pPr>
            <w:r>
              <w:rPr>
                <w:rFonts w:hint="eastAsia" w:cs="宋体"/>
                <w:szCs w:val="24"/>
              </w:rPr>
              <w:t>推式</w:t>
            </w:r>
          </w:p>
        </w:tc>
        <w:tc>
          <w:tcPr>
            <w:tcW w:w="1049" w:type="pct"/>
            <w:tcBorders>
              <w:top w:val="nil"/>
              <w:left w:val="nil"/>
              <w:bottom w:val="single" w:color="auto" w:sz="4" w:space="0"/>
              <w:right w:val="single" w:color="auto" w:sz="4" w:space="0"/>
              <w:tl2br w:val="nil"/>
              <w:tr2bl w:val="nil"/>
            </w:tcBorders>
            <w:vAlign w:val="center"/>
          </w:tcPr>
          <w:p w14:paraId="641709F1">
            <w:pPr>
              <w:widowControl/>
              <w:ind w:firstLine="0" w:firstLineChars="0"/>
              <w:rPr>
                <w:rFonts w:cs="宋体"/>
                <w:szCs w:val="24"/>
              </w:rPr>
            </w:pPr>
            <w:r>
              <w:rPr>
                <w:rFonts w:hint="eastAsia" w:cs="宋体"/>
                <w:szCs w:val="24"/>
              </w:rPr>
              <w:t>固定资产变动</w:t>
            </w:r>
          </w:p>
        </w:tc>
      </w:tr>
      <w:tr w14:paraId="0EADBB17">
        <w:tblPrEx>
          <w:tblCellMar>
            <w:top w:w="0" w:type="dxa"/>
            <w:left w:w="108" w:type="dxa"/>
            <w:bottom w:w="0" w:type="dxa"/>
            <w:right w:w="108" w:type="dxa"/>
          </w:tblCellMar>
        </w:tblPrEx>
        <w:trPr>
          <w:trHeight w:val="312" w:hRule="atLeast"/>
        </w:trPr>
        <w:tc>
          <w:tcPr>
            <w:tcW w:w="392" w:type="pct"/>
            <w:tcBorders>
              <w:top w:val="nil"/>
              <w:left w:val="single" w:color="auto" w:sz="4" w:space="0"/>
              <w:bottom w:val="single" w:color="auto" w:sz="4" w:space="0"/>
              <w:right w:val="single" w:color="auto" w:sz="4" w:space="0"/>
              <w:tl2br w:val="nil"/>
              <w:tr2bl w:val="nil"/>
            </w:tcBorders>
            <w:vAlign w:val="center"/>
          </w:tcPr>
          <w:p w14:paraId="14E4F978">
            <w:pPr>
              <w:widowControl/>
              <w:ind w:firstLine="0" w:firstLineChars="0"/>
              <w:rPr>
                <w:rFonts w:cs="宋体"/>
                <w:szCs w:val="24"/>
              </w:rPr>
            </w:pPr>
            <w:r>
              <w:rPr>
                <w:rFonts w:hint="eastAsia" w:cs="宋体"/>
                <w:szCs w:val="24"/>
              </w:rPr>
              <w:t>6</w:t>
            </w:r>
          </w:p>
        </w:tc>
        <w:tc>
          <w:tcPr>
            <w:tcW w:w="1816" w:type="pct"/>
            <w:tcBorders>
              <w:top w:val="nil"/>
              <w:left w:val="nil"/>
              <w:bottom w:val="single" w:color="auto" w:sz="4" w:space="0"/>
              <w:right w:val="single" w:color="auto" w:sz="4" w:space="0"/>
              <w:tl2br w:val="nil"/>
              <w:tr2bl w:val="nil"/>
            </w:tcBorders>
            <w:vAlign w:val="center"/>
          </w:tcPr>
          <w:p w14:paraId="2F4332D5">
            <w:pPr>
              <w:widowControl/>
              <w:ind w:firstLine="0" w:firstLineChars="0"/>
              <w:rPr>
                <w:rFonts w:cs="宋体"/>
                <w:szCs w:val="24"/>
              </w:rPr>
            </w:pPr>
            <w:r>
              <w:rPr>
                <w:rFonts w:hint="eastAsia" w:cs="宋体"/>
                <w:szCs w:val="24"/>
              </w:rPr>
              <w:t>管理部门变动生成固定资产变动单</w:t>
            </w:r>
          </w:p>
        </w:tc>
        <w:tc>
          <w:tcPr>
            <w:tcW w:w="1028" w:type="pct"/>
            <w:tcBorders>
              <w:top w:val="nil"/>
              <w:left w:val="nil"/>
              <w:bottom w:val="single" w:color="auto" w:sz="4" w:space="0"/>
              <w:right w:val="single" w:color="auto" w:sz="4" w:space="0"/>
              <w:tl2br w:val="nil"/>
              <w:tr2bl w:val="nil"/>
            </w:tcBorders>
            <w:vAlign w:val="center"/>
          </w:tcPr>
          <w:p w14:paraId="4001DEBC">
            <w:pPr>
              <w:widowControl/>
              <w:ind w:firstLine="0" w:firstLineChars="0"/>
              <w:rPr>
                <w:rFonts w:cs="宋体"/>
                <w:szCs w:val="24"/>
              </w:rPr>
            </w:pPr>
            <w:r>
              <w:rPr>
                <w:rFonts w:hint="eastAsia" w:cs="宋体"/>
                <w:szCs w:val="24"/>
              </w:rPr>
              <w:t>管理部门变动</w:t>
            </w:r>
          </w:p>
        </w:tc>
        <w:tc>
          <w:tcPr>
            <w:tcW w:w="711" w:type="pct"/>
            <w:tcBorders>
              <w:top w:val="nil"/>
              <w:left w:val="nil"/>
              <w:bottom w:val="single" w:color="auto" w:sz="4" w:space="0"/>
              <w:right w:val="single" w:color="auto" w:sz="4" w:space="0"/>
              <w:tl2br w:val="nil"/>
              <w:tr2bl w:val="nil"/>
            </w:tcBorders>
          </w:tcPr>
          <w:p w14:paraId="22CAA578">
            <w:pPr>
              <w:widowControl/>
              <w:ind w:firstLine="0" w:firstLineChars="0"/>
              <w:rPr>
                <w:rFonts w:cs="宋体"/>
                <w:szCs w:val="24"/>
              </w:rPr>
            </w:pPr>
            <w:r>
              <w:rPr>
                <w:rFonts w:hint="eastAsia" w:cs="宋体"/>
                <w:szCs w:val="24"/>
              </w:rPr>
              <w:t>推式</w:t>
            </w:r>
          </w:p>
        </w:tc>
        <w:tc>
          <w:tcPr>
            <w:tcW w:w="1049" w:type="pct"/>
            <w:tcBorders>
              <w:top w:val="nil"/>
              <w:left w:val="nil"/>
              <w:bottom w:val="single" w:color="auto" w:sz="4" w:space="0"/>
              <w:right w:val="single" w:color="auto" w:sz="4" w:space="0"/>
              <w:tl2br w:val="nil"/>
              <w:tr2bl w:val="nil"/>
            </w:tcBorders>
            <w:vAlign w:val="center"/>
          </w:tcPr>
          <w:p w14:paraId="533AB7E5">
            <w:pPr>
              <w:widowControl/>
              <w:ind w:firstLine="0" w:firstLineChars="0"/>
              <w:rPr>
                <w:rFonts w:cs="宋体"/>
                <w:szCs w:val="24"/>
              </w:rPr>
            </w:pPr>
            <w:r>
              <w:rPr>
                <w:rFonts w:hint="eastAsia" w:cs="宋体"/>
                <w:szCs w:val="24"/>
              </w:rPr>
              <w:t>固定资产变动</w:t>
            </w:r>
          </w:p>
        </w:tc>
      </w:tr>
      <w:tr w14:paraId="6D9DAA6D">
        <w:tblPrEx>
          <w:tblCellMar>
            <w:top w:w="0" w:type="dxa"/>
            <w:left w:w="108" w:type="dxa"/>
            <w:bottom w:w="0" w:type="dxa"/>
            <w:right w:w="108" w:type="dxa"/>
          </w:tblCellMar>
        </w:tblPrEx>
        <w:trPr>
          <w:trHeight w:val="312" w:hRule="atLeast"/>
        </w:trPr>
        <w:tc>
          <w:tcPr>
            <w:tcW w:w="392" w:type="pct"/>
            <w:tcBorders>
              <w:top w:val="nil"/>
              <w:left w:val="single" w:color="auto" w:sz="4" w:space="0"/>
              <w:bottom w:val="single" w:color="auto" w:sz="4" w:space="0"/>
              <w:right w:val="single" w:color="auto" w:sz="4" w:space="0"/>
              <w:tl2br w:val="nil"/>
              <w:tr2bl w:val="nil"/>
            </w:tcBorders>
            <w:vAlign w:val="center"/>
          </w:tcPr>
          <w:p w14:paraId="39EF0E3D">
            <w:pPr>
              <w:widowControl/>
              <w:ind w:firstLine="0" w:firstLineChars="0"/>
              <w:rPr>
                <w:rFonts w:cs="宋体"/>
                <w:szCs w:val="24"/>
              </w:rPr>
            </w:pPr>
            <w:r>
              <w:rPr>
                <w:rFonts w:hint="eastAsia" w:cs="宋体"/>
                <w:szCs w:val="24"/>
              </w:rPr>
              <w:t>7</w:t>
            </w:r>
          </w:p>
        </w:tc>
        <w:tc>
          <w:tcPr>
            <w:tcW w:w="1816" w:type="pct"/>
            <w:tcBorders>
              <w:top w:val="nil"/>
              <w:left w:val="nil"/>
              <w:bottom w:val="single" w:color="auto" w:sz="4" w:space="0"/>
              <w:right w:val="single" w:color="auto" w:sz="4" w:space="0"/>
              <w:tl2br w:val="nil"/>
              <w:tr2bl w:val="nil"/>
            </w:tcBorders>
            <w:vAlign w:val="center"/>
          </w:tcPr>
          <w:p w14:paraId="23020C6F">
            <w:pPr>
              <w:widowControl/>
              <w:ind w:firstLine="0" w:firstLineChars="0"/>
              <w:rPr>
                <w:rFonts w:cs="宋体"/>
                <w:szCs w:val="24"/>
              </w:rPr>
            </w:pPr>
            <w:r>
              <w:rPr>
                <w:rFonts w:hint="eastAsia" w:cs="宋体"/>
                <w:szCs w:val="24"/>
              </w:rPr>
              <w:t>使用部门变动生成固定资产变动单</w:t>
            </w:r>
          </w:p>
        </w:tc>
        <w:tc>
          <w:tcPr>
            <w:tcW w:w="1028" w:type="pct"/>
            <w:tcBorders>
              <w:top w:val="nil"/>
              <w:left w:val="nil"/>
              <w:bottom w:val="single" w:color="auto" w:sz="4" w:space="0"/>
              <w:right w:val="single" w:color="auto" w:sz="4" w:space="0"/>
              <w:tl2br w:val="nil"/>
              <w:tr2bl w:val="nil"/>
            </w:tcBorders>
            <w:vAlign w:val="center"/>
          </w:tcPr>
          <w:p w14:paraId="20A3C2BC">
            <w:pPr>
              <w:widowControl/>
              <w:ind w:firstLine="0" w:firstLineChars="0"/>
              <w:rPr>
                <w:rFonts w:cs="宋体"/>
                <w:szCs w:val="24"/>
              </w:rPr>
            </w:pPr>
            <w:r>
              <w:rPr>
                <w:rFonts w:hint="eastAsia" w:cs="宋体"/>
                <w:szCs w:val="24"/>
              </w:rPr>
              <w:t>使用部门变动</w:t>
            </w:r>
          </w:p>
        </w:tc>
        <w:tc>
          <w:tcPr>
            <w:tcW w:w="711" w:type="pct"/>
            <w:tcBorders>
              <w:top w:val="nil"/>
              <w:left w:val="nil"/>
              <w:bottom w:val="single" w:color="auto" w:sz="4" w:space="0"/>
              <w:right w:val="single" w:color="auto" w:sz="4" w:space="0"/>
              <w:tl2br w:val="nil"/>
              <w:tr2bl w:val="nil"/>
            </w:tcBorders>
          </w:tcPr>
          <w:p w14:paraId="457279EB">
            <w:pPr>
              <w:widowControl/>
              <w:ind w:firstLine="0" w:firstLineChars="0"/>
              <w:rPr>
                <w:rFonts w:cs="宋体"/>
                <w:szCs w:val="24"/>
              </w:rPr>
            </w:pPr>
            <w:r>
              <w:rPr>
                <w:rFonts w:hint="eastAsia" w:cs="宋体"/>
                <w:szCs w:val="24"/>
              </w:rPr>
              <w:t>推式</w:t>
            </w:r>
          </w:p>
        </w:tc>
        <w:tc>
          <w:tcPr>
            <w:tcW w:w="1049" w:type="pct"/>
            <w:tcBorders>
              <w:top w:val="nil"/>
              <w:left w:val="nil"/>
              <w:bottom w:val="single" w:color="auto" w:sz="4" w:space="0"/>
              <w:right w:val="single" w:color="auto" w:sz="4" w:space="0"/>
              <w:tl2br w:val="nil"/>
              <w:tr2bl w:val="nil"/>
            </w:tcBorders>
            <w:vAlign w:val="center"/>
          </w:tcPr>
          <w:p w14:paraId="53BBFB1F">
            <w:pPr>
              <w:widowControl/>
              <w:ind w:firstLine="0" w:firstLineChars="0"/>
              <w:rPr>
                <w:rFonts w:cs="宋体"/>
                <w:szCs w:val="24"/>
              </w:rPr>
            </w:pPr>
            <w:r>
              <w:rPr>
                <w:rFonts w:hint="eastAsia" w:cs="宋体"/>
                <w:szCs w:val="24"/>
              </w:rPr>
              <w:t>固定资产变动</w:t>
            </w:r>
          </w:p>
        </w:tc>
      </w:tr>
      <w:tr w14:paraId="20D838BD">
        <w:tblPrEx>
          <w:tblCellMar>
            <w:top w:w="0" w:type="dxa"/>
            <w:left w:w="108" w:type="dxa"/>
            <w:bottom w:w="0" w:type="dxa"/>
            <w:right w:w="108" w:type="dxa"/>
          </w:tblCellMar>
        </w:tblPrEx>
        <w:trPr>
          <w:trHeight w:val="312" w:hRule="atLeast"/>
        </w:trPr>
        <w:tc>
          <w:tcPr>
            <w:tcW w:w="392" w:type="pct"/>
            <w:tcBorders>
              <w:top w:val="nil"/>
              <w:left w:val="single" w:color="auto" w:sz="4" w:space="0"/>
              <w:bottom w:val="single" w:color="auto" w:sz="4" w:space="0"/>
              <w:right w:val="single" w:color="auto" w:sz="4" w:space="0"/>
              <w:tl2br w:val="nil"/>
              <w:tr2bl w:val="nil"/>
            </w:tcBorders>
            <w:vAlign w:val="center"/>
          </w:tcPr>
          <w:p w14:paraId="54A01374">
            <w:pPr>
              <w:widowControl/>
              <w:ind w:firstLine="0" w:firstLineChars="0"/>
              <w:rPr>
                <w:rFonts w:cs="宋体"/>
                <w:szCs w:val="24"/>
              </w:rPr>
            </w:pPr>
            <w:r>
              <w:rPr>
                <w:rFonts w:hint="eastAsia" w:cs="宋体"/>
                <w:szCs w:val="24"/>
              </w:rPr>
              <w:t>8</w:t>
            </w:r>
          </w:p>
        </w:tc>
        <w:tc>
          <w:tcPr>
            <w:tcW w:w="1816" w:type="pct"/>
            <w:tcBorders>
              <w:top w:val="nil"/>
              <w:left w:val="nil"/>
              <w:bottom w:val="single" w:color="auto" w:sz="4" w:space="0"/>
              <w:right w:val="single" w:color="auto" w:sz="4" w:space="0"/>
              <w:tl2br w:val="nil"/>
              <w:tr2bl w:val="nil"/>
            </w:tcBorders>
            <w:vAlign w:val="center"/>
          </w:tcPr>
          <w:p w14:paraId="1C172CB9">
            <w:pPr>
              <w:widowControl/>
              <w:ind w:firstLine="0" w:firstLineChars="0"/>
              <w:rPr>
                <w:rFonts w:cs="宋体"/>
                <w:szCs w:val="24"/>
              </w:rPr>
            </w:pPr>
            <w:r>
              <w:rPr>
                <w:rFonts w:hint="eastAsia" w:cs="宋体"/>
                <w:szCs w:val="24"/>
              </w:rPr>
              <w:t>责任人变动生成固定资产变动单</w:t>
            </w:r>
          </w:p>
        </w:tc>
        <w:tc>
          <w:tcPr>
            <w:tcW w:w="1028" w:type="pct"/>
            <w:tcBorders>
              <w:top w:val="nil"/>
              <w:left w:val="nil"/>
              <w:bottom w:val="single" w:color="auto" w:sz="4" w:space="0"/>
              <w:right w:val="single" w:color="auto" w:sz="4" w:space="0"/>
              <w:tl2br w:val="nil"/>
              <w:tr2bl w:val="nil"/>
            </w:tcBorders>
            <w:vAlign w:val="center"/>
          </w:tcPr>
          <w:p w14:paraId="401B780B">
            <w:pPr>
              <w:widowControl/>
              <w:ind w:firstLine="0" w:firstLineChars="0"/>
              <w:rPr>
                <w:rFonts w:cs="宋体"/>
                <w:szCs w:val="24"/>
              </w:rPr>
            </w:pPr>
            <w:r>
              <w:rPr>
                <w:rFonts w:hint="eastAsia" w:cs="宋体"/>
                <w:szCs w:val="24"/>
              </w:rPr>
              <w:t>责任人变动</w:t>
            </w:r>
          </w:p>
        </w:tc>
        <w:tc>
          <w:tcPr>
            <w:tcW w:w="711" w:type="pct"/>
            <w:tcBorders>
              <w:top w:val="nil"/>
              <w:left w:val="nil"/>
              <w:bottom w:val="single" w:color="auto" w:sz="4" w:space="0"/>
              <w:right w:val="single" w:color="auto" w:sz="4" w:space="0"/>
              <w:tl2br w:val="nil"/>
              <w:tr2bl w:val="nil"/>
            </w:tcBorders>
          </w:tcPr>
          <w:p w14:paraId="78D918BB">
            <w:pPr>
              <w:widowControl/>
              <w:ind w:firstLine="0" w:firstLineChars="0"/>
              <w:rPr>
                <w:rFonts w:cs="宋体"/>
                <w:szCs w:val="24"/>
              </w:rPr>
            </w:pPr>
            <w:r>
              <w:rPr>
                <w:rFonts w:hint="eastAsia" w:cs="宋体"/>
                <w:szCs w:val="24"/>
              </w:rPr>
              <w:t>推式</w:t>
            </w:r>
          </w:p>
        </w:tc>
        <w:tc>
          <w:tcPr>
            <w:tcW w:w="1049" w:type="pct"/>
            <w:tcBorders>
              <w:top w:val="nil"/>
              <w:left w:val="nil"/>
              <w:bottom w:val="single" w:color="auto" w:sz="4" w:space="0"/>
              <w:right w:val="single" w:color="auto" w:sz="4" w:space="0"/>
              <w:tl2br w:val="nil"/>
              <w:tr2bl w:val="nil"/>
            </w:tcBorders>
            <w:vAlign w:val="center"/>
          </w:tcPr>
          <w:p w14:paraId="3B96BCDD">
            <w:pPr>
              <w:widowControl/>
              <w:ind w:firstLine="0" w:firstLineChars="0"/>
              <w:rPr>
                <w:rFonts w:cs="宋体"/>
                <w:szCs w:val="24"/>
              </w:rPr>
            </w:pPr>
            <w:r>
              <w:rPr>
                <w:rFonts w:hint="eastAsia" w:cs="宋体"/>
                <w:szCs w:val="24"/>
              </w:rPr>
              <w:t>固定资产变动</w:t>
            </w:r>
          </w:p>
        </w:tc>
      </w:tr>
      <w:tr w14:paraId="689997E4">
        <w:tblPrEx>
          <w:tblCellMar>
            <w:top w:w="0" w:type="dxa"/>
            <w:left w:w="108" w:type="dxa"/>
            <w:bottom w:w="0" w:type="dxa"/>
            <w:right w:w="108" w:type="dxa"/>
          </w:tblCellMar>
        </w:tblPrEx>
        <w:trPr>
          <w:trHeight w:val="312" w:hRule="atLeast"/>
        </w:trPr>
        <w:tc>
          <w:tcPr>
            <w:tcW w:w="392" w:type="pct"/>
            <w:tcBorders>
              <w:top w:val="nil"/>
              <w:left w:val="single" w:color="auto" w:sz="4" w:space="0"/>
              <w:bottom w:val="single" w:color="auto" w:sz="4" w:space="0"/>
              <w:right w:val="single" w:color="auto" w:sz="4" w:space="0"/>
              <w:tl2br w:val="nil"/>
              <w:tr2bl w:val="nil"/>
            </w:tcBorders>
            <w:vAlign w:val="center"/>
          </w:tcPr>
          <w:p w14:paraId="220564F5">
            <w:pPr>
              <w:widowControl/>
              <w:ind w:firstLine="0" w:firstLineChars="0"/>
              <w:rPr>
                <w:rFonts w:cs="宋体"/>
                <w:szCs w:val="24"/>
              </w:rPr>
            </w:pPr>
            <w:r>
              <w:rPr>
                <w:rFonts w:hint="eastAsia" w:cs="宋体"/>
                <w:szCs w:val="24"/>
              </w:rPr>
              <w:t>9</w:t>
            </w:r>
          </w:p>
        </w:tc>
        <w:tc>
          <w:tcPr>
            <w:tcW w:w="1816" w:type="pct"/>
            <w:tcBorders>
              <w:top w:val="nil"/>
              <w:left w:val="nil"/>
              <w:bottom w:val="single" w:color="auto" w:sz="4" w:space="0"/>
              <w:right w:val="single" w:color="auto" w:sz="4" w:space="0"/>
              <w:tl2br w:val="nil"/>
              <w:tr2bl w:val="nil"/>
            </w:tcBorders>
            <w:vAlign w:val="center"/>
          </w:tcPr>
          <w:p w14:paraId="43FECA9E">
            <w:pPr>
              <w:widowControl/>
              <w:ind w:firstLine="0" w:firstLineChars="0"/>
              <w:rPr>
                <w:rFonts w:cs="宋体"/>
                <w:szCs w:val="24"/>
              </w:rPr>
            </w:pPr>
            <w:r>
              <w:rPr>
                <w:rFonts w:hint="eastAsia" w:cs="宋体"/>
                <w:szCs w:val="24"/>
              </w:rPr>
              <w:t>项目变动生成固定资产变动单</w:t>
            </w:r>
          </w:p>
        </w:tc>
        <w:tc>
          <w:tcPr>
            <w:tcW w:w="1028" w:type="pct"/>
            <w:tcBorders>
              <w:top w:val="nil"/>
              <w:left w:val="nil"/>
              <w:bottom w:val="single" w:color="auto" w:sz="4" w:space="0"/>
              <w:right w:val="single" w:color="auto" w:sz="4" w:space="0"/>
              <w:tl2br w:val="nil"/>
              <w:tr2bl w:val="nil"/>
            </w:tcBorders>
            <w:vAlign w:val="center"/>
          </w:tcPr>
          <w:p w14:paraId="20AFF168">
            <w:pPr>
              <w:widowControl/>
              <w:ind w:firstLine="0" w:firstLineChars="0"/>
              <w:rPr>
                <w:rFonts w:cs="宋体"/>
                <w:szCs w:val="24"/>
              </w:rPr>
            </w:pPr>
            <w:r>
              <w:rPr>
                <w:rFonts w:hint="eastAsia" w:cs="宋体"/>
                <w:szCs w:val="24"/>
              </w:rPr>
              <w:t>项目变动</w:t>
            </w:r>
          </w:p>
        </w:tc>
        <w:tc>
          <w:tcPr>
            <w:tcW w:w="711" w:type="pct"/>
            <w:tcBorders>
              <w:top w:val="nil"/>
              <w:left w:val="nil"/>
              <w:bottom w:val="single" w:color="auto" w:sz="4" w:space="0"/>
              <w:right w:val="single" w:color="auto" w:sz="4" w:space="0"/>
              <w:tl2br w:val="nil"/>
              <w:tr2bl w:val="nil"/>
            </w:tcBorders>
          </w:tcPr>
          <w:p w14:paraId="18CCECBD">
            <w:pPr>
              <w:widowControl/>
              <w:ind w:firstLine="0" w:firstLineChars="0"/>
              <w:rPr>
                <w:rFonts w:cs="宋体"/>
                <w:szCs w:val="24"/>
              </w:rPr>
            </w:pPr>
            <w:r>
              <w:rPr>
                <w:rFonts w:hint="eastAsia" w:cs="宋体"/>
                <w:szCs w:val="24"/>
              </w:rPr>
              <w:t>推式</w:t>
            </w:r>
          </w:p>
        </w:tc>
        <w:tc>
          <w:tcPr>
            <w:tcW w:w="1049" w:type="pct"/>
            <w:tcBorders>
              <w:top w:val="nil"/>
              <w:left w:val="nil"/>
              <w:bottom w:val="single" w:color="auto" w:sz="4" w:space="0"/>
              <w:right w:val="single" w:color="auto" w:sz="4" w:space="0"/>
              <w:tl2br w:val="nil"/>
              <w:tr2bl w:val="nil"/>
            </w:tcBorders>
            <w:vAlign w:val="center"/>
          </w:tcPr>
          <w:p w14:paraId="08A2CCDB">
            <w:pPr>
              <w:widowControl/>
              <w:ind w:firstLine="0" w:firstLineChars="0"/>
              <w:rPr>
                <w:rFonts w:cs="宋体"/>
                <w:szCs w:val="24"/>
              </w:rPr>
            </w:pPr>
            <w:r>
              <w:rPr>
                <w:rFonts w:hint="eastAsia" w:cs="宋体"/>
                <w:szCs w:val="24"/>
              </w:rPr>
              <w:t>固定资产变动</w:t>
            </w:r>
          </w:p>
        </w:tc>
      </w:tr>
      <w:tr w14:paraId="63775F26">
        <w:tblPrEx>
          <w:tblCellMar>
            <w:top w:w="0" w:type="dxa"/>
            <w:left w:w="108" w:type="dxa"/>
            <w:bottom w:w="0" w:type="dxa"/>
            <w:right w:w="108" w:type="dxa"/>
          </w:tblCellMar>
        </w:tblPrEx>
        <w:trPr>
          <w:trHeight w:val="312" w:hRule="atLeast"/>
        </w:trPr>
        <w:tc>
          <w:tcPr>
            <w:tcW w:w="392" w:type="pct"/>
            <w:tcBorders>
              <w:top w:val="nil"/>
              <w:left w:val="single" w:color="auto" w:sz="4" w:space="0"/>
              <w:bottom w:val="single" w:color="auto" w:sz="4" w:space="0"/>
              <w:right w:val="single" w:color="auto" w:sz="4" w:space="0"/>
              <w:tl2br w:val="nil"/>
              <w:tr2bl w:val="nil"/>
            </w:tcBorders>
            <w:vAlign w:val="center"/>
          </w:tcPr>
          <w:p w14:paraId="6764F7B8">
            <w:pPr>
              <w:widowControl/>
              <w:ind w:firstLine="0" w:firstLineChars="0"/>
              <w:rPr>
                <w:rFonts w:cs="宋体"/>
                <w:szCs w:val="24"/>
              </w:rPr>
            </w:pPr>
            <w:r>
              <w:rPr>
                <w:rFonts w:hint="eastAsia" w:cs="宋体"/>
                <w:szCs w:val="24"/>
              </w:rPr>
              <w:t>10</w:t>
            </w:r>
          </w:p>
        </w:tc>
        <w:tc>
          <w:tcPr>
            <w:tcW w:w="1816" w:type="pct"/>
            <w:tcBorders>
              <w:top w:val="nil"/>
              <w:left w:val="nil"/>
              <w:bottom w:val="single" w:color="auto" w:sz="4" w:space="0"/>
              <w:right w:val="single" w:color="auto" w:sz="4" w:space="0"/>
              <w:tl2br w:val="nil"/>
              <w:tr2bl w:val="nil"/>
            </w:tcBorders>
            <w:vAlign w:val="center"/>
          </w:tcPr>
          <w:p w14:paraId="27802B48">
            <w:pPr>
              <w:widowControl/>
              <w:ind w:firstLine="0" w:firstLineChars="0"/>
              <w:rPr>
                <w:rFonts w:cs="宋体"/>
                <w:szCs w:val="24"/>
              </w:rPr>
            </w:pPr>
            <w:r>
              <w:rPr>
                <w:rFonts w:hint="eastAsia" w:cs="宋体"/>
                <w:szCs w:val="24"/>
              </w:rPr>
              <w:t>使用权调出生成固定资产变动单</w:t>
            </w:r>
          </w:p>
        </w:tc>
        <w:tc>
          <w:tcPr>
            <w:tcW w:w="1028" w:type="pct"/>
            <w:tcBorders>
              <w:top w:val="nil"/>
              <w:left w:val="nil"/>
              <w:bottom w:val="single" w:color="auto" w:sz="4" w:space="0"/>
              <w:right w:val="single" w:color="auto" w:sz="4" w:space="0"/>
              <w:tl2br w:val="nil"/>
              <w:tr2bl w:val="nil"/>
            </w:tcBorders>
            <w:vAlign w:val="center"/>
          </w:tcPr>
          <w:p w14:paraId="7B093009">
            <w:pPr>
              <w:widowControl/>
              <w:ind w:firstLine="0" w:firstLineChars="0"/>
              <w:rPr>
                <w:rFonts w:cs="宋体"/>
                <w:szCs w:val="24"/>
              </w:rPr>
            </w:pPr>
            <w:r>
              <w:rPr>
                <w:rFonts w:hint="eastAsia" w:cs="宋体"/>
                <w:szCs w:val="24"/>
              </w:rPr>
              <w:t>使用权调出</w:t>
            </w:r>
          </w:p>
        </w:tc>
        <w:tc>
          <w:tcPr>
            <w:tcW w:w="711" w:type="pct"/>
            <w:tcBorders>
              <w:top w:val="nil"/>
              <w:left w:val="nil"/>
              <w:bottom w:val="single" w:color="auto" w:sz="4" w:space="0"/>
              <w:right w:val="single" w:color="auto" w:sz="4" w:space="0"/>
              <w:tl2br w:val="nil"/>
              <w:tr2bl w:val="nil"/>
            </w:tcBorders>
          </w:tcPr>
          <w:p w14:paraId="2A84C308">
            <w:pPr>
              <w:widowControl/>
              <w:ind w:firstLine="0" w:firstLineChars="0"/>
              <w:rPr>
                <w:rFonts w:cs="宋体"/>
                <w:szCs w:val="24"/>
              </w:rPr>
            </w:pPr>
            <w:r>
              <w:rPr>
                <w:rFonts w:hint="eastAsia" w:cs="宋体"/>
                <w:szCs w:val="24"/>
              </w:rPr>
              <w:t>推式</w:t>
            </w:r>
          </w:p>
        </w:tc>
        <w:tc>
          <w:tcPr>
            <w:tcW w:w="1049" w:type="pct"/>
            <w:tcBorders>
              <w:top w:val="nil"/>
              <w:left w:val="nil"/>
              <w:bottom w:val="single" w:color="auto" w:sz="4" w:space="0"/>
              <w:right w:val="single" w:color="auto" w:sz="4" w:space="0"/>
              <w:tl2br w:val="nil"/>
              <w:tr2bl w:val="nil"/>
            </w:tcBorders>
            <w:vAlign w:val="center"/>
          </w:tcPr>
          <w:p w14:paraId="423AC3D3">
            <w:pPr>
              <w:widowControl/>
              <w:ind w:firstLine="0" w:firstLineChars="0"/>
              <w:rPr>
                <w:rFonts w:cs="宋体"/>
                <w:szCs w:val="24"/>
              </w:rPr>
            </w:pPr>
            <w:r>
              <w:rPr>
                <w:rFonts w:hint="eastAsia" w:cs="宋体"/>
                <w:szCs w:val="24"/>
              </w:rPr>
              <w:t>固定资产变动</w:t>
            </w:r>
          </w:p>
        </w:tc>
      </w:tr>
      <w:tr w14:paraId="0A0FAC3E">
        <w:tblPrEx>
          <w:tblCellMar>
            <w:top w:w="0" w:type="dxa"/>
            <w:left w:w="108" w:type="dxa"/>
            <w:bottom w:w="0" w:type="dxa"/>
            <w:right w:w="108" w:type="dxa"/>
          </w:tblCellMar>
        </w:tblPrEx>
        <w:trPr>
          <w:trHeight w:val="312" w:hRule="atLeast"/>
        </w:trPr>
        <w:tc>
          <w:tcPr>
            <w:tcW w:w="392" w:type="pct"/>
            <w:tcBorders>
              <w:top w:val="nil"/>
              <w:left w:val="single" w:color="auto" w:sz="4" w:space="0"/>
              <w:bottom w:val="single" w:color="auto" w:sz="4" w:space="0"/>
              <w:right w:val="single" w:color="auto" w:sz="4" w:space="0"/>
              <w:tl2br w:val="nil"/>
              <w:tr2bl w:val="nil"/>
            </w:tcBorders>
            <w:vAlign w:val="center"/>
          </w:tcPr>
          <w:p w14:paraId="758A2B6A">
            <w:pPr>
              <w:widowControl/>
              <w:ind w:firstLine="0" w:firstLineChars="0"/>
              <w:rPr>
                <w:rFonts w:cs="宋体"/>
                <w:szCs w:val="24"/>
              </w:rPr>
            </w:pPr>
            <w:r>
              <w:rPr>
                <w:rFonts w:hint="eastAsia" w:cs="宋体"/>
                <w:szCs w:val="24"/>
              </w:rPr>
              <w:t>11</w:t>
            </w:r>
          </w:p>
        </w:tc>
        <w:tc>
          <w:tcPr>
            <w:tcW w:w="1816" w:type="pct"/>
            <w:tcBorders>
              <w:top w:val="nil"/>
              <w:left w:val="nil"/>
              <w:bottom w:val="single" w:color="auto" w:sz="4" w:space="0"/>
              <w:right w:val="single" w:color="auto" w:sz="4" w:space="0"/>
              <w:tl2br w:val="nil"/>
              <w:tr2bl w:val="nil"/>
            </w:tcBorders>
            <w:vAlign w:val="center"/>
          </w:tcPr>
          <w:p w14:paraId="50B06FF4">
            <w:pPr>
              <w:widowControl/>
              <w:ind w:firstLine="0" w:firstLineChars="0"/>
              <w:rPr>
                <w:rFonts w:cs="宋体"/>
                <w:szCs w:val="24"/>
              </w:rPr>
            </w:pPr>
            <w:r>
              <w:rPr>
                <w:rFonts w:hint="eastAsia" w:cs="宋体"/>
                <w:szCs w:val="24"/>
              </w:rPr>
              <w:t>差异调整生成固定资产变动单</w:t>
            </w:r>
          </w:p>
        </w:tc>
        <w:tc>
          <w:tcPr>
            <w:tcW w:w="1028" w:type="pct"/>
            <w:tcBorders>
              <w:top w:val="nil"/>
              <w:left w:val="nil"/>
              <w:bottom w:val="single" w:color="auto" w:sz="4" w:space="0"/>
              <w:right w:val="single" w:color="auto" w:sz="4" w:space="0"/>
              <w:tl2br w:val="nil"/>
              <w:tr2bl w:val="nil"/>
            </w:tcBorders>
            <w:vAlign w:val="center"/>
          </w:tcPr>
          <w:p w14:paraId="1BC3B397">
            <w:pPr>
              <w:widowControl/>
              <w:ind w:firstLine="0" w:firstLineChars="0"/>
              <w:rPr>
                <w:rFonts w:cs="宋体"/>
                <w:szCs w:val="24"/>
              </w:rPr>
            </w:pPr>
            <w:r>
              <w:rPr>
                <w:rFonts w:hint="eastAsia" w:cs="宋体"/>
                <w:szCs w:val="24"/>
              </w:rPr>
              <w:t>差异调整</w:t>
            </w:r>
          </w:p>
        </w:tc>
        <w:tc>
          <w:tcPr>
            <w:tcW w:w="711" w:type="pct"/>
            <w:tcBorders>
              <w:top w:val="nil"/>
              <w:left w:val="nil"/>
              <w:bottom w:val="single" w:color="auto" w:sz="4" w:space="0"/>
              <w:right w:val="single" w:color="auto" w:sz="4" w:space="0"/>
              <w:tl2br w:val="nil"/>
              <w:tr2bl w:val="nil"/>
            </w:tcBorders>
          </w:tcPr>
          <w:p w14:paraId="3DCD7A6D">
            <w:pPr>
              <w:widowControl/>
              <w:ind w:firstLine="0" w:firstLineChars="0"/>
              <w:rPr>
                <w:rFonts w:cs="宋体"/>
                <w:szCs w:val="24"/>
              </w:rPr>
            </w:pPr>
            <w:r>
              <w:rPr>
                <w:rFonts w:hint="eastAsia" w:cs="宋体"/>
                <w:szCs w:val="24"/>
              </w:rPr>
              <w:t>推式</w:t>
            </w:r>
          </w:p>
        </w:tc>
        <w:tc>
          <w:tcPr>
            <w:tcW w:w="1049" w:type="pct"/>
            <w:tcBorders>
              <w:top w:val="nil"/>
              <w:left w:val="nil"/>
              <w:bottom w:val="single" w:color="auto" w:sz="4" w:space="0"/>
              <w:right w:val="single" w:color="auto" w:sz="4" w:space="0"/>
              <w:tl2br w:val="nil"/>
              <w:tr2bl w:val="nil"/>
            </w:tcBorders>
            <w:vAlign w:val="center"/>
          </w:tcPr>
          <w:p w14:paraId="0EDE87E2">
            <w:pPr>
              <w:widowControl/>
              <w:ind w:firstLine="0" w:firstLineChars="0"/>
              <w:rPr>
                <w:rFonts w:cs="宋体"/>
                <w:szCs w:val="24"/>
              </w:rPr>
            </w:pPr>
            <w:r>
              <w:rPr>
                <w:rFonts w:hint="eastAsia" w:cs="宋体"/>
                <w:szCs w:val="24"/>
              </w:rPr>
              <w:t>固定资产变动</w:t>
            </w:r>
          </w:p>
        </w:tc>
      </w:tr>
      <w:tr w14:paraId="1D1E3F32">
        <w:tblPrEx>
          <w:tblCellMar>
            <w:top w:w="0" w:type="dxa"/>
            <w:left w:w="108" w:type="dxa"/>
            <w:bottom w:w="0" w:type="dxa"/>
            <w:right w:w="108" w:type="dxa"/>
          </w:tblCellMar>
        </w:tblPrEx>
        <w:trPr>
          <w:trHeight w:val="312" w:hRule="atLeast"/>
        </w:trPr>
        <w:tc>
          <w:tcPr>
            <w:tcW w:w="392" w:type="pct"/>
            <w:tcBorders>
              <w:top w:val="nil"/>
              <w:left w:val="single" w:color="auto" w:sz="4" w:space="0"/>
              <w:bottom w:val="single" w:color="auto" w:sz="4" w:space="0"/>
              <w:right w:val="single" w:color="auto" w:sz="4" w:space="0"/>
              <w:tl2br w:val="nil"/>
              <w:tr2bl w:val="nil"/>
            </w:tcBorders>
            <w:vAlign w:val="center"/>
          </w:tcPr>
          <w:p w14:paraId="164F7069">
            <w:pPr>
              <w:widowControl/>
              <w:ind w:firstLine="0" w:firstLineChars="0"/>
              <w:rPr>
                <w:rFonts w:cs="宋体"/>
                <w:szCs w:val="24"/>
              </w:rPr>
            </w:pPr>
            <w:r>
              <w:rPr>
                <w:rFonts w:hint="eastAsia" w:cs="宋体"/>
                <w:szCs w:val="24"/>
              </w:rPr>
              <w:t>12</w:t>
            </w:r>
          </w:p>
        </w:tc>
        <w:tc>
          <w:tcPr>
            <w:tcW w:w="1816" w:type="pct"/>
            <w:tcBorders>
              <w:top w:val="nil"/>
              <w:left w:val="nil"/>
              <w:bottom w:val="single" w:color="auto" w:sz="4" w:space="0"/>
              <w:right w:val="single" w:color="auto" w:sz="4" w:space="0"/>
              <w:tl2br w:val="nil"/>
              <w:tr2bl w:val="nil"/>
            </w:tcBorders>
            <w:vAlign w:val="center"/>
          </w:tcPr>
          <w:p w14:paraId="0098343B">
            <w:pPr>
              <w:widowControl/>
              <w:ind w:firstLine="0" w:firstLineChars="0"/>
              <w:rPr>
                <w:rFonts w:cs="宋体"/>
                <w:szCs w:val="24"/>
              </w:rPr>
            </w:pPr>
            <w:r>
              <w:rPr>
                <w:rFonts w:hint="eastAsia" w:cs="宋体"/>
                <w:szCs w:val="24"/>
              </w:rPr>
              <w:t>所有权调出生成固定资产减少单</w:t>
            </w:r>
          </w:p>
        </w:tc>
        <w:tc>
          <w:tcPr>
            <w:tcW w:w="1028" w:type="pct"/>
            <w:tcBorders>
              <w:top w:val="nil"/>
              <w:left w:val="nil"/>
              <w:bottom w:val="single" w:color="auto" w:sz="4" w:space="0"/>
              <w:right w:val="single" w:color="auto" w:sz="4" w:space="0"/>
              <w:tl2br w:val="nil"/>
              <w:tr2bl w:val="nil"/>
            </w:tcBorders>
            <w:vAlign w:val="center"/>
          </w:tcPr>
          <w:p w14:paraId="6A1864DE">
            <w:pPr>
              <w:widowControl/>
              <w:ind w:firstLine="0" w:firstLineChars="0"/>
              <w:rPr>
                <w:rFonts w:cs="宋体"/>
                <w:szCs w:val="24"/>
              </w:rPr>
            </w:pPr>
            <w:r>
              <w:rPr>
                <w:rFonts w:hint="eastAsia" w:cs="宋体"/>
                <w:szCs w:val="24"/>
              </w:rPr>
              <w:t>所有权调出</w:t>
            </w:r>
          </w:p>
        </w:tc>
        <w:tc>
          <w:tcPr>
            <w:tcW w:w="711" w:type="pct"/>
            <w:tcBorders>
              <w:top w:val="nil"/>
              <w:left w:val="nil"/>
              <w:bottom w:val="single" w:color="auto" w:sz="4" w:space="0"/>
              <w:right w:val="single" w:color="auto" w:sz="4" w:space="0"/>
              <w:tl2br w:val="nil"/>
              <w:tr2bl w:val="nil"/>
            </w:tcBorders>
          </w:tcPr>
          <w:p w14:paraId="44E283A6">
            <w:pPr>
              <w:widowControl/>
              <w:ind w:firstLine="0" w:firstLineChars="0"/>
              <w:rPr>
                <w:rFonts w:cs="宋体"/>
                <w:szCs w:val="24"/>
              </w:rPr>
            </w:pPr>
            <w:r>
              <w:rPr>
                <w:rFonts w:hint="eastAsia" w:cs="宋体"/>
                <w:szCs w:val="24"/>
              </w:rPr>
              <w:t>推式</w:t>
            </w:r>
          </w:p>
        </w:tc>
        <w:tc>
          <w:tcPr>
            <w:tcW w:w="1049" w:type="pct"/>
            <w:tcBorders>
              <w:top w:val="nil"/>
              <w:left w:val="nil"/>
              <w:bottom w:val="single" w:color="auto" w:sz="4" w:space="0"/>
              <w:right w:val="single" w:color="auto" w:sz="4" w:space="0"/>
              <w:tl2br w:val="nil"/>
              <w:tr2bl w:val="nil"/>
            </w:tcBorders>
            <w:vAlign w:val="center"/>
          </w:tcPr>
          <w:p w14:paraId="40E144EE">
            <w:pPr>
              <w:widowControl/>
              <w:ind w:firstLine="0" w:firstLineChars="0"/>
              <w:rPr>
                <w:rFonts w:cs="宋体"/>
                <w:szCs w:val="24"/>
              </w:rPr>
            </w:pPr>
            <w:r>
              <w:rPr>
                <w:rFonts w:hint="eastAsia" w:cs="宋体"/>
                <w:szCs w:val="24"/>
              </w:rPr>
              <w:t>资产处置</w:t>
            </w:r>
          </w:p>
        </w:tc>
      </w:tr>
      <w:tr w14:paraId="68FB25F9">
        <w:tblPrEx>
          <w:tblCellMar>
            <w:top w:w="0" w:type="dxa"/>
            <w:left w:w="108" w:type="dxa"/>
            <w:bottom w:w="0" w:type="dxa"/>
            <w:right w:w="108" w:type="dxa"/>
          </w:tblCellMar>
        </w:tblPrEx>
        <w:trPr>
          <w:trHeight w:val="312" w:hRule="atLeast"/>
        </w:trPr>
        <w:tc>
          <w:tcPr>
            <w:tcW w:w="392" w:type="pct"/>
            <w:tcBorders>
              <w:top w:val="nil"/>
              <w:left w:val="single" w:color="auto" w:sz="4" w:space="0"/>
              <w:bottom w:val="single" w:color="auto" w:sz="4" w:space="0"/>
              <w:right w:val="single" w:color="auto" w:sz="4" w:space="0"/>
              <w:tl2br w:val="nil"/>
              <w:tr2bl w:val="nil"/>
            </w:tcBorders>
            <w:vAlign w:val="center"/>
          </w:tcPr>
          <w:p w14:paraId="2C6B27BF">
            <w:pPr>
              <w:widowControl/>
              <w:ind w:firstLine="0" w:firstLineChars="0"/>
              <w:rPr>
                <w:rFonts w:cs="宋体"/>
                <w:szCs w:val="24"/>
              </w:rPr>
            </w:pPr>
            <w:r>
              <w:rPr>
                <w:rFonts w:hint="eastAsia" w:cs="宋体"/>
                <w:szCs w:val="24"/>
              </w:rPr>
              <w:t>13</w:t>
            </w:r>
          </w:p>
        </w:tc>
        <w:tc>
          <w:tcPr>
            <w:tcW w:w="1816" w:type="pct"/>
            <w:tcBorders>
              <w:top w:val="nil"/>
              <w:left w:val="nil"/>
              <w:bottom w:val="single" w:color="auto" w:sz="4" w:space="0"/>
              <w:right w:val="single" w:color="auto" w:sz="4" w:space="0"/>
              <w:tl2br w:val="nil"/>
              <w:tr2bl w:val="nil"/>
            </w:tcBorders>
            <w:vAlign w:val="center"/>
          </w:tcPr>
          <w:p w14:paraId="25E0A846">
            <w:pPr>
              <w:widowControl/>
              <w:ind w:firstLine="0" w:firstLineChars="0"/>
              <w:rPr>
                <w:rFonts w:cs="宋体"/>
                <w:szCs w:val="24"/>
              </w:rPr>
            </w:pPr>
            <w:r>
              <w:rPr>
                <w:rFonts w:hint="eastAsia" w:cs="宋体"/>
                <w:szCs w:val="24"/>
              </w:rPr>
              <w:t>资产报废生成固定资产减少单</w:t>
            </w:r>
          </w:p>
        </w:tc>
        <w:tc>
          <w:tcPr>
            <w:tcW w:w="1028" w:type="pct"/>
            <w:tcBorders>
              <w:top w:val="nil"/>
              <w:left w:val="nil"/>
              <w:bottom w:val="single" w:color="auto" w:sz="4" w:space="0"/>
              <w:right w:val="single" w:color="auto" w:sz="4" w:space="0"/>
              <w:tl2br w:val="nil"/>
              <w:tr2bl w:val="nil"/>
            </w:tcBorders>
            <w:vAlign w:val="center"/>
          </w:tcPr>
          <w:p w14:paraId="36A44FC2">
            <w:pPr>
              <w:widowControl/>
              <w:ind w:firstLine="0" w:firstLineChars="0"/>
              <w:rPr>
                <w:rFonts w:cs="宋体"/>
                <w:szCs w:val="24"/>
              </w:rPr>
            </w:pPr>
            <w:r>
              <w:rPr>
                <w:rFonts w:hint="eastAsia" w:cs="宋体"/>
                <w:szCs w:val="24"/>
              </w:rPr>
              <w:t>资产报废</w:t>
            </w:r>
          </w:p>
        </w:tc>
        <w:tc>
          <w:tcPr>
            <w:tcW w:w="711" w:type="pct"/>
            <w:tcBorders>
              <w:top w:val="nil"/>
              <w:left w:val="nil"/>
              <w:bottom w:val="single" w:color="auto" w:sz="4" w:space="0"/>
              <w:right w:val="single" w:color="auto" w:sz="4" w:space="0"/>
              <w:tl2br w:val="nil"/>
              <w:tr2bl w:val="nil"/>
            </w:tcBorders>
          </w:tcPr>
          <w:p w14:paraId="5894A682">
            <w:pPr>
              <w:widowControl/>
              <w:ind w:firstLine="0" w:firstLineChars="0"/>
              <w:rPr>
                <w:rFonts w:cs="宋体"/>
                <w:szCs w:val="24"/>
              </w:rPr>
            </w:pPr>
            <w:r>
              <w:rPr>
                <w:rFonts w:hint="eastAsia" w:cs="宋体"/>
                <w:szCs w:val="24"/>
              </w:rPr>
              <w:t>推式</w:t>
            </w:r>
          </w:p>
        </w:tc>
        <w:tc>
          <w:tcPr>
            <w:tcW w:w="1049" w:type="pct"/>
            <w:tcBorders>
              <w:top w:val="nil"/>
              <w:left w:val="nil"/>
              <w:bottom w:val="single" w:color="auto" w:sz="4" w:space="0"/>
              <w:right w:val="single" w:color="auto" w:sz="4" w:space="0"/>
              <w:tl2br w:val="nil"/>
              <w:tr2bl w:val="nil"/>
            </w:tcBorders>
            <w:vAlign w:val="center"/>
          </w:tcPr>
          <w:p w14:paraId="59C4ABAE">
            <w:pPr>
              <w:widowControl/>
              <w:ind w:firstLine="0" w:firstLineChars="0"/>
              <w:rPr>
                <w:rFonts w:cs="宋体"/>
                <w:szCs w:val="24"/>
              </w:rPr>
            </w:pPr>
            <w:r>
              <w:rPr>
                <w:rFonts w:hint="eastAsia" w:cs="宋体"/>
                <w:szCs w:val="24"/>
              </w:rPr>
              <w:t>资产处置</w:t>
            </w:r>
          </w:p>
        </w:tc>
      </w:tr>
      <w:tr w14:paraId="5EEE7AF5">
        <w:tblPrEx>
          <w:tblCellMar>
            <w:top w:w="0" w:type="dxa"/>
            <w:left w:w="108" w:type="dxa"/>
            <w:bottom w:w="0" w:type="dxa"/>
            <w:right w:w="108" w:type="dxa"/>
          </w:tblCellMar>
        </w:tblPrEx>
        <w:trPr>
          <w:trHeight w:val="312" w:hRule="atLeast"/>
        </w:trPr>
        <w:tc>
          <w:tcPr>
            <w:tcW w:w="392" w:type="pct"/>
            <w:tcBorders>
              <w:top w:val="nil"/>
              <w:left w:val="single" w:color="auto" w:sz="4" w:space="0"/>
              <w:bottom w:val="single" w:color="auto" w:sz="4" w:space="0"/>
              <w:right w:val="single" w:color="auto" w:sz="4" w:space="0"/>
              <w:tl2br w:val="nil"/>
              <w:tr2bl w:val="nil"/>
            </w:tcBorders>
            <w:vAlign w:val="center"/>
          </w:tcPr>
          <w:p w14:paraId="05ECB3A7">
            <w:pPr>
              <w:widowControl/>
              <w:ind w:firstLine="0" w:firstLineChars="0"/>
              <w:rPr>
                <w:rFonts w:cs="宋体"/>
                <w:szCs w:val="24"/>
              </w:rPr>
            </w:pPr>
            <w:r>
              <w:rPr>
                <w:rFonts w:hint="eastAsia" w:cs="宋体"/>
                <w:szCs w:val="24"/>
              </w:rPr>
              <w:t>14</w:t>
            </w:r>
          </w:p>
        </w:tc>
        <w:tc>
          <w:tcPr>
            <w:tcW w:w="1816" w:type="pct"/>
            <w:tcBorders>
              <w:top w:val="nil"/>
              <w:left w:val="nil"/>
              <w:bottom w:val="single" w:color="auto" w:sz="4" w:space="0"/>
              <w:right w:val="single" w:color="auto" w:sz="4" w:space="0"/>
              <w:tl2br w:val="nil"/>
              <w:tr2bl w:val="nil"/>
            </w:tcBorders>
            <w:vAlign w:val="center"/>
          </w:tcPr>
          <w:p w14:paraId="64B4BA40">
            <w:pPr>
              <w:widowControl/>
              <w:ind w:firstLine="0" w:firstLineChars="0"/>
              <w:rPr>
                <w:rFonts w:cs="宋体"/>
                <w:szCs w:val="24"/>
              </w:rPr>
            </w:pPr>
            <w:r>
              <w:rPr>
                <w:rFonts w:hint="eastAsia" w:cs="宋体"/>
                <w:szCs w:val="24"/>
              </w:rPr>
              <w:t>资产处置生成固定资产减少单</w:t>
            </w:r>
          </w:p>
        </w:tc>
        <w:tc>
          <w:tcPr>
            <w:tcW w:w="1028" w:type="pct"/>
            <w:tcBorders>
              <w:top w:val="nil"/>
              <w:left w:val="nil"/>
              <w:bottom w:val="single" w:color="auto" w:sz="4" w:space="0"/>
              <w:right w:val="single" w:color="auto" w:sz="4" w:space="0"/>
              <w:tl2br w:val="nil"/>
              <w:tr2bl w:val="nil"/>
            </w:tcBorders>
            <w:vAlign w:val="center"/>
          </w:tcPr>
          <w:p w14:paraId="045A0604">
            <w:pPr>
              <w:widowControl/>
              <w:ind w:firstLine="0" w:firstLineChars="0"/>
              <w:rPr>
                <w:rFonts w:cs="宋体"/>
                <w:szCs w:val="24"/>
              </w:rPr>
            </w:pPr>
            <w:r>
              <w:rPr>
                <w:rFonts w:hint="eastAsia" w:cs="宋体"/>
                <w:szCs w:val="24"/>
              </w:rPr>
              <w:t>资产处置</w:t>
            </w:r>
          </w:p>
        </w:tc>
        <w:tc>
          <w:tcPr>
            <w:tcW w:w="711" w:type="pct"/>
            <w:tcBorders>
              <w:top w:val="nil"/>
              <w:left w:val="nil"/>
              <w:bottom w:val="single" w:color="auto" w:sz="4" w:space="0"/>
              <w:right w:val="single" w:color="auto" w:sz="4" w:space="0"/>
              <w:tl2br w:val="nil"/>
              <w:tr2bl w:val="nil"/>
            </w:tcBorders>
          </w:tcPr>
          <w:p w14:paraId="0CA575FD">
            <w:pPr>
              <w:widowControl/>
              <w:ind w:firstLine="0" w:firstLineChars="0"/>
              <w:rPr>
                <w:rFonts w:cs="宋体"/>
                <w:szCs w:val="24"/>
              </w:rPr>
            </w:pPr>
            <w:r>
              <w:rPr>
                <w:rFonts w:hint="eastAsia" w:cs="宋体"/>
                <w:szCs w:val="24"/>
              </w:rPr>
              <w:t>推式</w:t>
            </w:r>
          </w:p>
        </w:tc>
        <w:tc>
          <w:tcPr>
            <w:tcW w:w="1049" w:type="pct"/>
            <w:tcBorders>
              <w:top w:val="nil"/>
              <w:left w:val="nil"/>
              <w:bottom w:val="single" w:color="auto" w:sz="4" w:space="0"/>
              <w:right w:val="single" w:color="auto" w:sz="4" w:space="0"/>
              <w:tl2br w:val="nil"/>
              <w:tr2bl w:val="nil"/>
            </w:tcBorders>
            <w:vAlign w:val="center"/>
          </w:tcPr>
          <w:p w14:paraId="42AC16AB">
            <w:pPr>
              <w:widowControl/>
              <w:ind w:firstLine="0" w:firstLineChars="0"/>
              <w:rPr>
                <w:rFonts w:cs="宋体"/>
                <w:szCs w:val="24"/>
              </w:rPr>
            </w:pPr>
            <w:r>
              <w:rPr>
                <w:rFonts w:hint="eastAsia" w:cs="宋体"/>
                <w:szCs w:val="24"/>
              </w:rPr>
              <w:t>资产处置</w:t>
            </w:r>
          </w:p>
        </w:tc>
      </w:tr>
      <w:tr w14:paraId="3A335F8B">
        <w:tblPrEx>
          <w:tblCellMar>
            <w:top w:w="0" w:type="dxa"/>
            <w:left w:w="108" w:type="dxa"/>
            <w:bottom w:w="0" w:type="dxa"/>
            <w:right w:w="108" w:type="dxa"/>
          </w:tblCellMar>
        </w:tblPrEx>
        <w:trPr>
          <w:trHeight w:val="312" w:hRule="atLeast"/>
        </w:trPr>
        <w:tc>
          <w:tcPr>
            <w:tcW w:w="392" w:type="pct"/>
            <w:tcBorders>
              <w:top w:val="nil"/>
              <w:left w:val="single" w:color="auto" w:sz="4" w:space="0"/>
              <w:bottom w:val="single" w:color="auto" w:sz="4" w:space="0"/>
              <w:right w:val="single" w:color="auto" w:sz="4" w:space="0"/>
              <w:tl2br w:val="nil"/>
              <w:tr2bl w:val="nil"/>
            </w:tcBorders>
            <w:vAlign w:val="center"/>
          </w:tcPr>
          <w:p w14:paraId="7DEFE4DD">
            <w:pPr>
              <w:widowControl/>
              <w:ind w:firstLine="0" w:firstLineChars="0"/>
              <w:rPr>
                <w:rFonts w:cs="宋体"/>
                <w:szCs w:val="24"/>
              </w:rPr>
            </w:pPr>
            <w:r>
              <w:rPr>
                <w:rFonts w:hint="eastAsia" w:cs="宋体"/>
                <w:szCs w:val="24"/>
              </w:rPr>
              <w:t>15</w:t>
            </w:r>
          </w:p>
        </w:tc>
        <w:tc>
          <w:tcPr>
            <w:tcW w:w="1816" w:type="pct"/>
            <w:tcBorders>
              <w:top w:val="nil"/>
              <w:left w:val="nil"/>
              <w:bottom w:val="single" w:color="auto" w:sz="4" w:space="0"/>
              <w:right w:val="single" w:color="auto" w:sz="4" w:space="0"/>
              <w:tl2br w:val="nil"/>
              <w:tr2bl w:val="nil"/>
            </w:tcBorders>
            <w:vAlign w:val="center"/>
          </w:tcPr>
          <w:p w14:paraId="772BE6A5">
            <w:pPr>
              <w:widowControl/>
              <w:ind w:firstLine="0" w:firstLineChars="0"/>
              <w:rPr>
                <w:rFonts w:cs="宋体"/>
                <w:szCs w:val="24"/>
              </w:rPr>
            </w:pPr>
            <w:r>
              <w:rPr>
                <w:rFonts w:hint="eastAsia" w:cs="宋体"/>
                <w:szCs w:val="24"/>
              </w:rPr>
              <w:t>资产捐赠生成固定资产减少单</w:t>
            </w:r>
          </w:p>
        </w:tc>
        <w:tc>
          <w:tcPr>
            <w:tcW w:w="1028" w:type="pct"/>
            <w:tcBorders>
              <w:top w:val="nil"/>
              <w:left w:val="nil"/>
              <w:bottom w:val="single" w:color="auto" w:sz="4" w:space="0"/>
              <w:right w:val="single" w:color="auto" w:sz="4" w:space="0"/>
              <w:tl2br w:val="nil"/>
              <w:tr2bl w:val="nil"/>
            </w:tcBorders>
            <w:vAlign w:val="center"/>
          </w:tcPr>
          <w:p w14:paraId="6A3C4B97">
            <w:pPr>
              <w:widowControl/>
              <w:ind w:firstLine="0" w:firstLineChars="0"/>
              <w:rPr>
                <w:rFonts w:cs="宋体"/>
                <w:szCs w:val="24"/>
              </w:rPr>
            </w:pPr>
            <w:r>
              <w:rPr>
                <w:rFonts w:hint="eastAsia" w:cs="宋体"/>
                <w:szCs w:val="24"/>
              </w:rPr>
              <w:t>资产捐赠</w:t>
            </w:r>
          </w:p>
        </w:tc>
        <w:tc>
          <w:tcPr>
            <w:tcW w:w="711" w:type="pct"/>
            <w:tcBorders>
              <w:top w:val="nil"/>
              <w:left w:val="nil"/>
              <w:bottom w:val="single" w:color="auto" w:sz="4" w:space="0"/>
              <w:right w:val="single" w:color="auto" w:sz="4" w:space="0"/>
              <w:tl2br w:val="nil"/>
              <w:tr2bl w:val="nil"/>
            </w:tcBorders>
          </w:tcPr>
          <w:p w14:paraId="262CBF3E">
            <w:pPr>
              <w:widowControl/>
              <w:ind w:firstLine="0" w:firstLineChars="0"/>
              <w:rPr>
                <w:rFonts w:cs="宋体"/>
                <w:szCs w:val="24"/>
              </w:rPr>
            </w:pPr>
            <w:r>
              <w:rPr>
                <w:rFonts w:hint="eastAsia" w:cs="宋体"/>
                <w:szCs w:val="24"/>
              </w:rPr>
              <w:t>推式</w:t>
            </w:r>
          </w:p>
        </w:tc>
        <w:tc>
          <w:tcPr>
            <w:tcW w:w="1049" w:type="pct"/>
            <w:tcBorders>
              <w:top w:val="nil"/>
              <w:left w:val="nil"/>
              <w:bottom w:val="single" w:color="auto" w:sz="4" w:space="0"/>
              <w:right w:val="single" w:color="auto" w:sz="4" w:space="0"/>
              <w:tl2br w:val="nil"/>
              <w:tr2bl w:val="nil"/>
            </w:tcBorders>
            <w:vAlign w:val="center"/>
          </w:tcPr>
          <w:p w14:paraId="1DB169C5">
            <w:pPr>
              <w:widowControl/>
              <w:ind w:firstLine="0" w:firstLineChars="0"/>
              <w:rPr>
                <w:rFonts w:cs="宋体"/>
                <w:szCs w:val="24"/>
              </w:rPr>
            </w:pPr>
            <w:r>
              <w:rPr>
                <w:rFonts w:hint="eastAsia" w:cs="宋体"/>
                <w:szCs w:val="24"/>
              </w:rPr>
              <w:t>资产处置</w:t>
            </w:r>
          </w:p>
        </w:tc>
      </w:tr>
      <w:tr w14:paraId="54962A68">
        <w:tblPrEx>
          <w:tblCellMar>
            <w:top w:w="0" w:type="dxa"/>
            <w:left w:w="108" w:type="dxa"/>
            <w:bottom w:w="0" w:type="dxa"/>
            <w:right w:w="108" w:type="dxa"/>
          </w:tblCellMar>
        </w:tblPrEx>
        <w:trPr>
          <w:trHeight w:val="312" w:hRule="atLeast"/>
        </w:trPr>
        <w:tc>
          <w:tcPr>
            <w:tcW w:w="392" w:type="pct"/>
            <w:tcBorders>
              <w:top w:val="nil"/>
              <w:left w:val="single" w:color="auto" w:sz="4" w:space="0"/>
              <w:bottom w:val="single" w:color="auto" w:sz="4" w:space="0"/>
              <w:right w:val="single" w:color="auto" w:sz="4" w:space="0"/>
              <w:tl2br w:val="nil"/>
              <w:tr2bl w:val="nil"/>
            </w:tcBorders>
            <w:vAlign w:val="center"/>
          </w:tcPr>
          <w:p w14:paraId="5FE51B14">
            <w:pPr>
              <w:widowControl/>
              <w:ind w:firstLine="0" w:firstLineChars="0"/>
              <w:rPr>
                <w:rFonts w:cs="宋体"/>
                <w:szCs w:val="24"/>
              </w:rPr>
            </w:pPr>
            <w:r>
              <w:rPr>
                <w:rFonts w:hint="eastAsia" w:cs="宋体"/>
                <w:szCs w:val="24"/>
              </w:rPr>
              <w:t>16</w:t>
            </w:r>
          </w:p>
        </w:tc>
        <w:tc>
          <w:tcPr>
            <w:tcW w:w="1816" w:type="pct"/>
            <w:tcBorders>
              <w:top w:val="nil"/>
              <w:left w:val="nil"/>
              <w:bottom w:val="single" w:color="auto" w:sz="4" w:space="0"/>
              <w:right w:val="single" w:color="auto" w:sz="4" w:space="0"/>
              <w:tl2br w:val="nil"/>
              <w:tr2bl w:val="nil"/>
            </w:tcBorders>
            <w:vAlign w:val="center"/>
          </w:tcPr>
          <w:p w14:paraId="734CC852">
            <w:pPr>
              <w:widowControl/>
              <w:ind w:firstLine="0" w:firstLineChars="0"/>
              <w:rPr>
                <w:rFonts w:cs="宋体"/>
                <w:szCs w:val="24"/>
              </w:rPr>
            </w:pPr>
            <w:r>
              <w:rPr>
                <w:rFonts w:hint="eastAsia" w:cs="宋体"/>
                <w:szCs w:val="24"/>
              </w:rPr>
              <w:t>资产盘亏生成固定资产减少单</w:t>
            </w:r>
          </w:p>
        </w:tc>
        <w:tc>
          <w:tcPr>
            <w:tcW w:w="1028" w:type="pct"/>
            <w:tcBorders>
              <w:top w:val="nil"/>
              <w:left w:val="nil"/>
              <w:bottom w:val="single" w:color="auto" w:sz="4" w:space="0"/>
              <w:right w:val="single" w:color="auto" w:sz="4" w:space="0"/>
              <w:tl2br w:val="nil"/>
              <w:tr2bl w:val="nil"/>
            </w:tcBorders>
            <w:vAlign w:val="center"/>
          </w:tcPr>
          <w:p w14:paraId="63ADEDDE">
            <w:pPr>
              <w:widowControl/>
              <w:ind w:firstLine="0" w:firstLineChars="0"/>
              <w:rPr>
                <w:rFonts w:cs="宋体"/>
                <w:szCs w:val="24"/>
              </w:rPr>
            </w:pPr>
            <w:r>
              <w:rPr>
                <w:rFonts w:hint="eastAsia" w:cs="宋体"/>
                <w:szCs w:val="24"/>
              </w:rPr>
              <w:t>资产盘亏</w:t>
            </w:r>
          </w:p>
        </w:tc>
        <w:tc>
          <w:tcPr>
            <w:tcW w:w="711" w:type="pct"/>
            <w:tcBorders>
              <w:top w:val="nil"/>
              <w:left w:val="nil"/>
              <w:bottom w:val="single" w:color="auto" w:sz="4" w:space="0"/>
              <w:right w:val="single" w:color="auto" w:sz="4" w:space="0"/>
              <w:tl2br w:val="nil"/>
              <w:tr2bl w:val="nil"/>
            </w:tcBorders>
          </w:tcPr>
          <w:p w14:paraId="228B560F">
            <w:pPr>
              <w:widowControl/>
              <w:ind w:firstLine="0" w:firstLineChars="0"/>
              <w:rPr>
                <w:rFonts w:cs="宋体"/>
                <w:szCs w:val="24"/>
              </w:rPr>
            </w:pPr>
            <w:r>
              <w:rPr>
                <w:rFonts w:hint="eastAsia" w:cs="宋体"/>
                <w:szCs w:val="24"/>
              </w:rPr>
              <w:t>推式</w:t>
            </w:r>
          </w:p>
        </w:tc>
        <w:tc>
          <w:tcPr>
            <w:tcW w:w="1049" w:type="pct"/>
            <w:tcBorders>
              <w:top w:val="nil"/>
              <w:left w:val="nil"/>
              <w:bottom w:val="single" w:color="auto" w:sz="4" w:space="0"/>
              <w:right w:val="single" w:color="auto" w:sz="4" w:space="0"/>
              <w:tl2br w:val="nil"/>
              <w:tr2bl w:val="nil"/>
            </w:tcBorders>
            <w:vAlign w:val="center"/>
          </w:tcPr>
          <w:p w14:paraId="56715351">
            <w:pPr>
              <w:widowControl/>
              <w:ind w:firstLine="0" w:firstLineChars="0"/>
              <w:rPr>
                <w:rFonts w:cs="宋体"/>
                <w:szCs w:val="24"/>
              </w:rPr>
            </w:pPr>
            <w:r>
              <w:rPr>
                <w:rFonts w:hint="eastAsia" w:cs="宋体"/>
                <w:szCs w:val="24"/>
              </w:rPr>
              <w:t>资产处置</w:t>
            </w:r>
          </w:p>
        </w:tc>
      </w:tr>
      <w:tr w14:paraId="5FF03F6C">
        <w:tblPrEx>
          <w:tblCellMar>
            <w:top w:w="0" w:type="dxa"/>
            <w:left w:w="108" w:type="dxa"/>
            <w:bottom w:w="0" w:type="dxa"/>
            <w:right w:w="108" w:type="dxa"/>
          </w:tblCellMar>
        </w:tblPrEx>
        <w:trPr>
          <w:trHeight w:val="312" w:hRule="atLeast"/>
        </w:trPr>
        <w:tc>
          <w:tcPr>
            <w:tcW w:w="392" w:type="pct"/>
            <w:tcBorders>
              <w:top w:val="nil"/>
              <w:left w:val="single" w:color="auto" w:sz="4" w:space="0"/>
              <w:bottom w:val="single" w:color="auto" w:sz="4" w:space="0"/>
              <w:right w:val="single" w:color="auto" w:sz="4" w:space="0"/>
              <w:tl2br w:val="nil"/>
              <w:tr2bl w:val="nil"/>
            </w:tcBorders>
            <w:vAlign w:val="center"/>
          </w:tcPr>
          <w:p w14:paraId="1FE5CBC6">
            <w:pPr>
              <w:widowControl/>
              <w:ind w:firstLine="0" w:firstLineChars="0"/>
              <w:rPr>
                <w:rFonts w:cs="宋体"/>
                <w:szCs w:val="24"/>
              </w:rPr>
            </w:pPr>
            <w:r>
              <w:rPr>
                <w:rFonts w:hint="eastAsia" w:cs="宋体"/>
                <w:szCs w:val="24"/>
              </w:rPr>
              <w:t>17</w:t>
            </w:r>
          </w:p>
        </w:tc>
        <w:tc>
          <w:tcPr>
            <w:tcW w:w="1816" w:type="pct"/>
            <w:tcBorders>
              <w:top w:val="nil"/>
              <w:left w:val="nil"/>
              <w:bottom w:val="single" w:color="auto" w:sz="4" w:space="0"/>
              <w:right w:val="single" w:color="auto" w:sz="4" w:space="0"/>
              <w:tl2br w:val="nil"/>
              <w:tr2bl w:val="nil"/>
            </w:tcBorders>
            <w:vAlign w:val="center"/>
          </w:tcPr>
          <w:p w14:paraId="4DC7254C">
            <w:pPr>
              <w:widowControl/>
              <w:ind w:firstLine="0" w:firstLineChars="0"/>
              <w:rPr>
                <w:rFonts w:cs="宋体"/>
                <w:szCs w:val="24"/>
              </w:rPr>
            </w:pPr>
            <w:r>
              <w:rPr>
                <w:rFonts w:hint="eastAsia" w:cs="宋体"/>
                <w:szCs w:val="24"/>
              </w:rPr>
              <w:t>资产拆分生成资产处置业务时</w:t>
            </w:r>
          </w:p>
        </w:tc>
        <w:tc>
          <w:tcPr>
            <w:tcW w:w="1028" w:type="pct"/>
            <w:tcBorders>
              <w:top w:val="nil"/>
              <w:left w:val="nil"/>
              <w:bottom w:val="single" w:color="auto" w:sz="4" w:space="0"/>
              <w:right w:val="single" w:color="auto" w:sz="4" w:space="0"/>
              <w:tl2br w:val="nil"/>
              <w:tr2bl w:val="nil"/>
            </w:tcBorders>
            <w:vAlign w:val="center"/>
          </w:tcPr>
          <w:p w14:paraId="6BEEC18E">
            <w:pPr>
              <w:widowControl/>
              <w:ind w:firstLine="0" w:firstLineChars="0"/>
              <w:rPr>
                <w:rFonts w:cs="宋体"/>
                <w:szCs w:val="24"/>
              </w:rPr>
            </w:pPr>
            <w:r>
              <w:rPr>
                <w:rFonts w:hint="eastAsia" w:cs="宋体"/>
                <w:szCs w:val="24"/>
              </w:rPr>
              <w:t>资产拆分</w:t>
            </w:r>
          </w:p>
        </w:tc>
        <w:tc>
          <w:tcPr>
            <w:tcW w:w="711" w:type="pct"/>
            <w:tcBorders>
              <w:top w:val="nil"/>
              <w:left w:val="nil"/>
              <w:bottom w:val="single" w:color="auto" w:sz="4" w:space="0"/>
              <w:right w:val="single" w:color="auto" w:sz="4" w:space="0"/>
              <w:tl2br w:val="nil"/>
              <w:tr2bl w:val="nil"/>
            </w:tcBorders>
          </w:tcPr>
          <w:p w14:paraId="41844279">
            <w:pPr>
              <w:widowControl/>
              <w:ind w:firstLine="0" w:firstLineChars="0"/>
              <w:rPr>
                <w:rFonts w:cs="宋体"/>
                <w:szCs w:val="24"/>
              </w:rPr>
            </w:pPr>
            <w:r>
              <w:rPr>
                <w:rFonts w:hint="eastAsia" w:cs="宋体"/>
                <w:szCs w:val="24"/>
              </w:rPr>
              <w:t>推式</w:t>
            </w:r>
          </w:p>
        </w:tc>
        <w:tc>
          <w:tcPr>
            <w:tcW w:w="1049" w:type="pct"/>
            <w:tcBorders>
              <w:top w:val="nil"/>
              <w:left w:val="nil"/>
              <w:bottom w:val="single" w:color="auto" w:sz="4" w:space="0"/>
              <w:right w:val="single" w:color="auto" w:sz="4" w:space="0"/>
              <w:tl2br w:val="nil"/>
              <w:tr2bl w:val="nil"/>
            </w:tcBorders>
            <w:vAlign w:val="center"/>
          </w:tcPr>
          <w:p w14:paraId="09F6E65D">
            <w:pPr>
              <w:widowControl/>
              <w:ind w:firstLine="0" w:firstLineChars="0"/>
              <w:rPr>
                <w:rFonts w:cs="宋体"/>
                <w:szCs w:val="24"/>
              </w:rPr>
            </w:pPr>
            <w:r>
              <w:rPr>
                <w:rFonts w:hint="eastAsia" w:cs="宋体"/>
                <w:szCs w:val="24"/>
              </w:rPr>
              <w:t>固定资产变动</w:t>
            </w:r>
          </w:p>
        </w:tc>
      </w:tr>
      <w:tr w14:paraId="7AB58EDE">
        <w:tblPrEx>
          <w:tblCellMar>
            <w:top w:w="0" w:type="dxa"/>
            <w:left w:w="108" w:type="dxa"/>
            <w:bottom w:w="0" w:type="dxa"/>
            <w:right w:w="108" w:type="dxa"/>
          </w:tblCellMar>
        </w:tblPrEx>
        <w:trPr>
          <w:trHeight w:val="312" w:hRule="atLeast"/>
        </w:trPr>
        <w:tc>
          <w:tcPr>
            <w:tcW w:w="392" w:type="pct"/>
            <w:tcBorders>
              <w:top w:val="nil"/>
              <w:left w:val="single" w:color="auto" w:sz="4" w:space="0"/>
              <w:bottom w:val="single" w:color="auto" w:sz="4" w:space="0"/>
              <w:right w:val="single" w:color="auto" w:sz="4" w:space="0"/>
              <w:tl2br w:val="nil"/>
              <w:tr2bl w:val="nil"/>
            </w:tcBorders>
            <w:vAlign w:val="center"/>
          </w:tcPr>
          <w:p w14:paraId="1EBDF092">
            <w:pPr>
              <w:widowControl/>
              <w:ind w:firstLine="0" w:firstLineChars="0"/>
              <w:rPr>
                <w:rFonts w:cs="宋体"/>
                <w:szCs w:val="24"/>
              </w:rPr>
            </w:pPr>
            <w:r>
              <w:rPr>
                <w:rFonts w:hint="eastAsia" w:cs="宋体"/>
                <w:szCs w:val="24"/>
              </w:rPr>
              <w:t>18</w:t>
            </w:r>
          </w:p>
        </w:tc>
        <w:tc>
          <w:tcPr>
            <w:tcW w:w="1816" w:type="pct"/>
            <w:tcBorders>
              <w:top w:val="nil"/>
              <w:left w:val="nil"/>
              <w:bottom w:val="single" w:color="auto" w:sz="4" w:space="0"/>
              <w:right w:val="single" w:color="auto" w:sz="4" w:space="0"/>
              <w:tl2br w:val="nil"/>
              <w:tr2bl w:val="nil"/>
            </w:tcBorders>
            <w:vAlign w:val="center"/>
          </w:tcPr>
          <w:p w14:paraId="77C2DED0">
            <w:pPr>
              <w:widowControl/>
              <w:ind w:firstLine="0" w:firstLineChars="0"/>
              <w:rPr>
                <w:rFonts w:cs="宋体"/>
                <w:szCs w:val="24"/>
              </w:rPr>
            </w:pPr>
            <w:r>
              <w:rPr>
                <w:rFonts w:hint="eastAsia" w:cs="宋体"/>
                <w:szCs w:val="24"/>
              </w:rPr>
              <w:t>转移接收生成资产变动业务</w:t>
            </w:r>
          </w:p>
        </w:tc>
        <w:tc>
          <w:tcPr>
            <w:tcW w:w="1028" w:type="pct"/>
            <w:tcBorders>
              <w:top w:val="nil"/>
              <w:left w:val="nil"/>
              <w:bottom w:val="single" w:color="auto" w:sz="4" w:space="0"/>
              <w:right w:val="single" w:color="auto" w:sz="4" w:space="0"/>
              <w:tl2br w:val="nil"/>
              <w:tr2bl w:val="nil"/>
            </w:tcBorders>
            <w:vAlign w:val="center"/>
          </w:tcPr>
          <w:p w14:paraId="09EAC03C">
            <w:pPr>
              <w:widowControl/>
              <w:ind w:firstLine="0" w:firstLineChars="0"/>
              <w:rPr>
                <w:rFonts w:cs="宋体"/>
                <w:szCs w:val="24"/>
              </w:rPr>
            </w:pPr>
            <w:r>
              <w:rPr>
                <w:rFonts w:hint="eastAsia" w:cs="宋体"/>
                <w:szCs w:val="24"/>
              </w:rPr>
              <w:t>转移接收</w:t>
            </w:r>
          </w:p>
        </w:tc>
        <w:tc>
          <w:tcPr>
            <w:tcW w:w="711" w:type="pct"/>
            <w:tcBorders>
              <w:top w:val="nil"/>
              <w:left w:val="nil"/>
              <w:bottom w:val="single" w:color="auto" w:sz="4" w:space="0"/>
              <w:right w:val="single" w:color="auto" w:sz="4" w:space="0"/>
              <w:tl2br w:val="nil"/>
              <w:tr2bl w:val="nil"/>
            </w:tcBorders>
          </w:tcPr>
          <w:p w14:paraId="0DDD7C37">
            <w:pPr>
              <w:widowControl/>
              <w:ind w:firstLine="0" w:firstLineChars="0"/>
              <w:rPr>
                <w:rFonts w:cs="宋体"/>
                <w:szCs w:val="24"/>
              </w:rPr>
            </w:pPr>
            <w:r>
              <w:rPr>
                <w:rFonts w:hint="eastAsia" w:cs="宋体"/>
                <w:szCs w:val="24"/>
              </w:rPr>
              <w:t>推式</w:t>
            </w:r>
          </w:p>
        </w:tc>
        <w:tc>
          <w:tcPr>
            <w:tcW w:w="1049" w:type="pct"/>
            <w:tcBorders>
              <w:top w:val="nil"/>
              <w:left w:val="nil"/>
              <w:bottom w:val="single" w:color="auto" w:sz="4" w:space="0"/>
              <w:right w:val="single" w:color="auto" w:sz="4" w:space="0"/>
              <w:tl2br w:val="nil"/>
              <w:tr2bl w:val="nil"/>
            </w:tcBorders>
            <w:vAlign w:val="center"/>
          </w:tcPr>
          <w:p w14:paraId="04F30939">
            <w:pPr>
              <w:widowControl/>
              <w:ind w:firstLine="0" w:firstLineChars="0"/>
              <w:rPr>
                <w:rFonts w:cs="宋体"/>
                <w:szCs w:val="24"/>
              </w:rPr>
            </w:pPr>
            <w:r>
              <w:rPr>
                <w:rFonts w:hint="eastAsia" w:cs="宋体"/>
                <w:szCs w:val="24"/>
              </w:rPr>
              <w:t>固定资产变动</w:t>
            </w:r>
          </w:p>
        </w:tc>
      </w:tr>
      <w:tr w14:paraId="4B74CEAB">
        <w:tblPrEx>
          <w:tblCellMar>
            <w:top w:w="0" w:type="dxa"/>
            <w:left w:w="108" w:type="dxa"/>
            <w:bottom w:w="0" w:type="dxa"/>
            <w:right w:w="108" w:type="dxa"/>
          </w:tblCellMar>
        </w:tblPrEx>
        <w:trPr>
          <w:trHeight w:val="312" w:hRule="atLeast"/>
        </w:trPr>
        <w:tc>
          <w:tcPr>
            <w:tcW w:w="392" w:type="pct"/>
            <w:tcBorders>
              <w:top w:val="nil"/>
              <w:left w:val="single" w:color="auto" w:sz="4" w:space="0"/>
              <w:bottom w:val="single" w:color="auto" w:sz="4" w:space="0"/>
              <w:right w:val="single" w:color="auto" w:sz="4" w:space="0"/>
              <w:tl2br w:val="nil"/>
              <w:tr2bl w:val="nil"/>
            </w:tcBorders>
            <w:vAlign w:val="center"/>
          </w:tcPr>
          <w:p w14:paraId="2236DF93">
            <w:pPr>
              <w:widowControl/>
              <w:ind w:firstLine="0" w:firstLineChars="0"/>
              <w:rPr>
                <w:rFonts w:cs="宋体"/>
                <w:szCs w:val="24"/>
              </w:rPr>
            </w:pPr>
            <w:r>
              <w:rPr>
                <w:rFonts w:hint="eastAsia" w:cs="宋体"/>
                <w:szCs w:val="24"/>
              </w:rPr>
              <w:t>19</w:t>
            </w:r>
          </w:p>
        </w:tc>
        <w:tc>
          <w:tcPr>
            <w:tcW w:w="1816" w:type="pct"/>
            <w:tcBorders>
              <w:top w:val="nil"/>
              <w:left w:val="nil"/>
              <w:bottom w:val="single" w:color="auto" w:sz="4" w:space="0"/>
              <w:right w:val="single" w:color="auto" w:sz="4" w:space="0"/>
              <w:tl2br w:val="nil"/>
              <w:tr2bl w:val="nil"/>
            </w:tcBorders>
            <w:vAlign w:val="center"/>
          </w:tcPr>
          <w:p w14:paraId="2E2BC6DF">
            <w:pPr>
              <w:widowControl/>
              <w:ind w:firstLine="0" w:firstLineChars="0"/>
              <w:rPr>
                <w:rFonts w:cs="宋体"/>
                <w:szCs w:val="24"/>
              </w:rPr>
            </w:pPr>
            <w:r>
              <w:rPr>
                <w:rFonts w:hint="eastAsia" w:cs="宋体"/>
                <w:szCs w:val="24"/>
              </w:rPr>
              <w:t>所有权调出确认应收</w:t>
            </w:r>
          </w:p>
        </w:tc>
        <w:tc>
          <w:tcPr>
            <w:tcW w:w="1028" w:type="pct"/>
            <w:tcBorders>
              <w:top w:val="nil"/>
              <w:left w:val="nil"/>
              <w:bottom w:val="single" w:color="auto" w:sz="4" w:space="0"/>
              <w:right w:val="single" w:color="auto" w:sz="4" w:space="0"/>
              <w:tl2br w:val="nil"/>
              <w:tr2bl w:val="nil"/>
            </w:tcBorders>
            <w:vAlign w:val="center"/>
          </w:tcPr>
          <w:p w14:paraId="607922E4">
            <w:pPr>
              <w:widowControl/>
              <w:ind w:firstLine="0" w:firstLineChars="0"/>
              <w:rPr>
                <w:rFonts w:cs="宋体"/>
                <w:szCs w:val="24"/>
              </w:rPr>
            </w:pPr>
            <w:r>
              <w:rPr>
                <w:rFonts w:hint="eastAsia" w:cs="宋体"/>
                <w:szCs w:val="24"/>
              </w:rPr>
              <w:t>所有权调出</w:t>
            </w:r>
          </w:p>
        </w:tc>
        <w:tc>
          <w:tcPr>
            <w:tcW w:w="711" w:type="pct"/>
            <w:tcBorders>
              <w:top w:val="nil"/>
              <w:left w:val="nil"/>
              <w:bottom w:val="single" w:color="auto" w:sz="4" w:space="0"/>
              <w:right w:val="single" w:color="auto" w:sz="4" w:space="0"/>
              <w:tl2br w:val="nil"/>
              <w:tr2bl w:val="nil"/>
            </w:tcBorders>
          </w:tcPr>
          <w:p w14:paraId="223C626A">
            <w:pPr>
              <w:widowControl/>
              <w:ind w:firstLine="0" w:firstLineChars="0"/>
              <w:rPr>
                <w:rFonts w:cs="宋体"/>
                <w:szCs w:val="24"/>
              </w:rPr>
            </w:pPr>
            <w:r>
              <w:rPr>
                <w:rFonts w:hint="eastAsia" w:cs="宋体"/>
                <w:szCs w:val="24"/>
              </w:rPr>
              <w:t>推式</w:t>
            </w:r>
          </w:p>
        </w:tc>
        <w:tc>
          <w:tcPr>
            <w:tcW w:w="1049" w:type="pct"/>
            <w:tcBorders>
              <w:top w:val="nil"/>
              <w:left w:val="nil"/>
              <w:bottom w:val="single" w:color="auto" w:sz="4" w:space="0"/>
              <w:right w:val="single" w:color="auto" w:sz="4" w:space="0"/>
              <w:tl2br w:val="nil"/>
              <w:tr2bl w:val="nil"/>
            </w:tcBorders>
            <w:vAlign w:val="center"/>
          </w:tcPr>
          <w:p w14:paraId="01985155">
            <w:pPr>
              <w:widowControl/>
              <w:ind w:firstLine="0" w:firstLineChars="0"/>
              <w:rPr>
                <w:rFonts w:cs="宋体"/>
                <w:szCs w:val="24"/>
              </w:rPr>
            </w:pPr>
            <w:r>
              <w:rPr>
                <w:rFonts w:hint="eastAsia" w:cs="宋体"/>
                <w:szCs w:val="24"/>
              </w:rPr>
              <w:t>应收事务</w:t>
            </w:r>
          </w:p>
        </w:tc>
      </w:tr>
      <w:tr w14:paraId="3C9B2F64">
        <w:tblPrEx>
          <w:tblCellMar>
            <w:top w:w="0" w:type="dxa"/>
            <w:left w:w="108" w:type="dxa"/>
            <w:bottom w:w="0" w:type="dxa"/>
            <w:right w:w="108" w:type="dxa"/>
          </w:tblCellMar>
        </w:tblPrEx>
        <w:trPr>
          <w:trHeight w:val="312" w:hRule="atLeast"/>
        </w:trPr>
        <w:tc>
          <w:tcPr>
            <w:tcW w:w="392" w:type="pct"/>
            <w:tcBorders>
              <w:top w:val="nil"/>
              <w:left w:val="single" w:color="auto" w:sz="4" w:space="0"/>
              <w:bottom w:val="single" w:color="auto" w:sz="4" w:space="0"/>
              <w:right w:val="single" w:color="auto" w:sz="4" w:space="0"/>
              <w:tl2br w:val="nil"/>
              <w:tr2bl w:val="nil"/>
            </w:tcBorders>
            <w:vAlign w:val="center"/>
          </w:tcPr>
          <w:p w14:paraId="5B295714">
            <w:pPr>
              <w:widowControl/>
              <w:ind w:firstLine="0" w:firstLineChars="0"/>
              <w:rPr>
                <w:rFonts w:cs="宋体"/>
                <w:szCs w:val="24"/>
              </w:rPr>
            </w:pPr>
            <w:r>
              <w:rPr>
                <w:rFonts w:hint="eastAsia" w:cs="宋体"/>
                <w:szCs w:val="24"/>
              </w:rPr>
              <w:t>20</w:t>
            </w:r>
          </w:p>
        </w:tc>
        <w:tc>
          <w:tcPr>
            <w:tcW w:w="1816" w:type="pct"/>
            <w:tcBorders>
              <w:top w:val="nil"/>
              <w:left w:val="nil"/>
              <w:bottom w:val="single" w:color="auto" w:sz="4" w:space="0"/>
              <w:right w:val="single" w:color="auto" w:sz="4" w:space="0"/>
              <w:tl2br w:val="nil"/>
              <w:tr2bl w:val="nil"/>
            </w:tcBorders>
            <w:vAlign w:val="center"/>
          </w:tcPr>
          <w:p w14:paraId="5BFE8137">
            <w:pPr>
              <w:widowControl/>
              <w:ind w:firstLine="0" w:firstLineChars="0"/>
              <w:rPr>
                <w:rFonts w:cs="宋体"/>
                <w:szCs w:val="24"/>
              </w:rPr>
            </w:pPr>
            <w:r>
              <w:rPr>
                <w:rFonts w:hint="eastAsia" w:cs="宋体"/>
                <w:szCs w:val="24"/>
              </w:rPr>
              <w:t>所有权调入确认应付</w:t>
            </w:r>
          </w:p>
        </w:tc>
        <w:tc>
          <w:tcPr>
            <w:tcW w:w="1028" w:type="pct"/>
            <w:tcBorders>
              <w:top w:val="nil"/>
              <w:left w:val="nil"/>
              <w:bottom w:val="single" w:color="auto" w:sz="4" w:space="0"/>
              <w:right w:val="single" w:color="auto" w:sz="4" w:space="0"/>
              <w:tl2br w:val="nil"/>
              <w:tr2bl w:val="nil"/>
            </w:tcBorders>
            <w:vAlign w:val="center"/>
          </w:tcPr>
          <w:p w14:paraId="4DB00AD9">
            <w:pPr>
              <w:widowControl/>
              <w:ind w:firstLine="0" w:firstLineChars="0"/>
              <w:rPr>
                <w:rFonts w:cs="宋体"/>
                <w:szCs w:val="24"/>
              </w:rPr>
            </w:pPr>
            <w:r>
              <w:rPr>
                <w:rFonts w:hint="eastAsia" w:cs="宋体"/>
                <w:szCs w:val="24"/>
              </w:rPr>
              <w:t>所有权调入</w:t>
            </w:r>
          </w:p>
        </w:tc>
        <w:tc>
          <w:tcPr>
            <w:tcW w:w="711" w:type="pct"/>
            <w:tcBorders>
              <w:top w:val="nil"/>
              <w:left w:val="nil"/>
              <w:bottom w:val="single" w:color="auto" w:sz="4" w:space="0"/>
              <w:right w:val="single" w:color="auto" w:sz="4" w:space="0"/>
              <w:tl2br w:val="nil"/>
              <w:tr2bl w:val="nil"/>
            </w:tcBorders>
          </w:tcPr>
          <w:p w14:paraId="759D07F0">
            <w:pPr>
              <w:widowControl/>
              <w:ind w:firstLine="0" w:firstLineChars="0"/>
              <w:rPr>
                <w:rFonts w:cs="宋体"/>
                <w:szCs w:val="24"/>
              </w:rPr>
            </w:pPr>
            <w:r>
              <w:rPr>
                <w:rFonts w:hint="eastAsia" w:cs="宋体"/>
                <w:szCs w:val="24"/>
              </w:rPr>
              <w:t>推式</w:t>
            </w:r>
          </w:p>
        </w:tc>
        <w:tc>
          <w:tcPr>
            <w:tcW w:w="1049" w:type="pct"/>
            <w:tcBorders>
              <w:top w:val="nil"/>
              <w:left w:val="nil"/>
              <w:bottom w:val="single" w:color="auto" w:sz="4" w:space="0"/>
              <w:right w:val="single" w:color="auto" w:sz="4" w:space="0"/>
              <w:tl2br w:val="nil"/>
              <w:tr2bl w:val="nil"/>
            </w:tcBorders>
            <w:vAlign w:val="center"/>
          </w:tcPr>
          <w:p w14:paraId="24466B9D">
            <w:pPr>
              <w:widowControl/>
              <w:ind w:firstLine="0" w:firstLineChars="0"/>
              <w:rPr>
                <w:rFonts w:cs="宋体"/>
                <w:szCs w:val="24"/>
              </w:rPr>
            </w:pPr>
            <w:r>
              <w:rPr>
                <w:rFonts w:hint="eastAsia" w:cs="宋体"/>
                <w:szCs w:val="24"/>
              </w:rPr>
              <w:t>应付事务</w:t>
            </w:r>
          </w:p>
        </w:tc>
      </w:tr>
      <w:tr w14:paraId="246D2324">
        <w:tblPrEx>
          <w:tblCellMar>
            <w:top w:w="0" w:type="dxa"/>
            <w:left w:w="108" w:type="dxa"/>
            <w:bottom w:w="0" w:type="dxa"/>
            <w:right w:w="108" w:type="dxa"/>
          </w:tblCellMar>
        </w:tblPrEx>
        <w:trPr>
          <w:trHeight w:val="312" w:hRule="atLeast"/>
        </w:trPr>
        <w:tc>
          <w:tcPr>
            <w:tcW w:w="392" w:type="pct"/>
            <w:tcBorders>
              <w:top w:val="nil"/>
              <w:left w:val="single" w:color="auto" w:sz="4" w:space="0"/>
              <w:bottom w:val="single" w:color="auto" w:sz="4" w:space="0"/>
              <w:right w:val="single" w:color="auto" w:sz="4" w:space="0"/>
              <w:tl2br w:val="nil"/>
              <w:tr2bl w:val="nil"/>
            </w:tcBorders>
            <w:vAlign w:val="center"/>
          </w:tcPr>
          <w:p w14:paraId="2875E280">
            <w:pPr>
              <w:widowControl/>
              <w:ind w:firstLine="0" w:firstLineChars="0"/>
              <w:rPr>
                <w:rFonts w:cs="宋体"/>
                <w:szCs w:val="24"/>
              </w:rPr>
            </w:pPr>
            <w:r>
              <w:rPr>
                <w:rFonts w:hint="eastAsia" w:cs="宋体"/>
                <w:szCs w:val="24"/>
              </w:rPr>
              <w:t>21</w:t>
            </w:r>
          </w:p>
        </w:tc>
        <w:tc>
          <w:tcPr>
            <w:tcW w:w="1816" w:type="pct"/>
            <w:tcBorders>
              <w:top w:val="nil"/>
              <w:left w:val="nil"/>
              <w:bottom w:val="single" w:color="auto" w:sz="4" w:space="0"/>
              <w:right w:val="single" w:color="auto" w:sz="4" w:space="0"/>
              <w:tl2br w:val="nil"/>
              <w:tr2bl w:val="nil"/>
            </w:tcBorders>
            <w:vAlign w:val="center"/>
          </w:tcPr>
          <w:p w14:paraId="4D7F13CD">
            <w:pPr>
              <w:widowControl/>
              <w:ind w:firstLine="0" w:firstLineChars="0"/>
              <w:rPr>
                <w:rFonts w:cs="宋体"/>
                <w:szCs w:val="24"/>
              </w:rPr>
            </w:pPr>
            <w:r>
              <w:rPr>
                <w:rFonts w:hint="eastAsia" w:cs="宋体"/>
                <w:szCs w:val="24"/>
              </w:rPr>
              <w:t>资产处置支出</w:t>
            </w:r>
          </w:p>
        </w:tc>
        <w:tc>
          <w:tcPr>
            <w:tcW w:w="1028" w:type="pct"/>
            <w:tcBorders>
              <w:top w:val="nil"/>
              <w:left w:val="nil"/>
              <w:bottom w:val="single" w:color="auto" w:sz="4" w:space="0"/>
              <w:right w:val="single" w:color="auto" w:sz="4" w:space="0"/>
              <w:tl2br w:val="nil"/>
              <w:tr2bl w:val="nil"/>
            </w:tcBorders>
            <w:vAlign w:val="center"/>
          </w:tcPr>
          <w:p w14:paraId="1F278E5E">
            <w:pPr>
              <w:widowControl/>
              <w:ind w:firstLine="0" w:firstLineChars="0"/>
              <w:rPr>
                <w:rFonts w:cs="宋体"/>
                <w:szCs w:val="24"/>
              </w:rPr>
            </w:pPr>
            <w:r>
              <w:rPr>
                <w:rFonts w:hint="eastAsia" w:cs="宋体"/>
                <w:szCs w:val="24"/>
              </w:rPr>
              <w:t>资产处置</w:t>
            </w:r>
          </w:p>
        </w:tc>
        <w:tc>
          <w:tcPr>
            <w:tcW w:w="711" w:type="pct"/>
            <w:tcBorders>
              <w:top w:val="nil"/>
              <w:left w:val="nil"/>
              <w:bottom w:val="single" w:color="auto" w:sz="4" w:space="0"/>
              <w:right w:val="single" w:color="auto" w:sz="4" w:space="0"/>
              <w:tl2br w:val="nil"/>
              <w:tr2bl w:val="nil"/>
            </w:tcBorders>
          </w:tcPr>
          <w:p w14:paraId="4B8D7F65">
            <w:pPr>
              <w:widowControl/>
              <w:ind w:firstLine="0" w:firstLineChars="0"/>
              <w:rPr>
                <w:rFonts w:cs="宋体"/>
                <w:szCs w:val="24"/>
              </w:rPr>
            </w:pPr>
            <w:r>
              <w:rPr>
                <w:rFonts w:hint="eastAsia" w:cs="宋体"/>
                <w:szCs w:val="24"/>
              </w:rPr>
              <w:t>推式</w:t>
            </w:r>
          </w:p>
        </w:tc>
        <w:tc>
          <w:tcPr>
            <w:tcW w:w="1049" w:type="pct"/>
            <w:tcBorders>
              <w:top w:val="nil"/>
              <w:left w:val="nil"/>
              <w:bottom w:val="single" w:color="auto" w:sz="4" w:space="0"/>
              <w:right w:val="single" w:color="auto" w:sz="4" w:space="0"/>
              <w:tl2br w:val="nil"/>
              <w:tr2bl w:val="nil"/>
            </w:tcBorders>
            <w:vAlign w:val="center"/>
          </w:tcPr>
          <w:p w14:paraId="0E5D17F7">
            <w:pPr>
              <w:widowControl/>
              <w:ind w:firstLine="0" w:firstLineChars="0"/>
              <w:rPr>
                <w:rFonts w:cs="宋体"/>
                <w:szCs w:val="24"/>
              </w:rPr>
            </w:pPr>
            <w:r>
              <w:rPr>
                <w:rFonts w:hint="eastAsia" w:cs="宋体"/>
                <w:szCs w:val="24"/>
              </w:rPr>
              <w:t>应付事务</w:t>
            </w:r>
          </w:p>
        </w:tc>
      </w:tr>
      <w:tr w14:paraId="0FAC5643">
        <w:tblPrEx>
          <w:tblCellMar>
            <w:top w:w="0" w:type="dxa"/>
            <w:left w:w="108" w:type="dxa"/>
            <w:bottom w:w="0" w:type="dxa"/>
            <w:right w:w="108" w:type="dxa"/>
          </w:tblCellMar>
        </w:tblPrEx>
        <w:trPr>
          <w:trHeight w:val="312" w:hRule="atLeast"/>
        </w:trPr>
        <w:tc>
          <w:tcPr>
            <w:tcW w:w="392" w:type="pct"/>
            <w:tcBorders>
              <w:top w:val="nil"/>
              <w:left w:val="single" w:color="auto" w:sz="4" w:space="0"/>
              <w:bottom w:val="single" w:color="auto" w:sz="4" w:space="0"/>
              <w:right w:val="single" w:color="auto" w:sz="4" w:space="0"/>
              <w:tl2br w:val="nil"/>
              <w:tr2bl w:val="nil"/>
            </w:tcBorders>
            <w:vAlign w:val="center"/>
          </w:tcPr>
          <w:p w14:paraId="09E9EFB4">
            <w:pPr>
              <w:widowControl/>
              <w:ind w:firstLine="0" w:firstLineChars="0"/>
              <w:rPr>
                <w:rFonts w:cs="宋体"/>
                <w:szCs w:val="24"/>
              </w:rPr>
            </w:pPr>
            <w:r>
              <w:rPr>
                <w:rFonts w:hint="eastAsia" w:cs="宋体"/>
                <w:szCs w:val="24"/>
              </w:rPr>
              <w:t>22</w:t>
            </w:r>
          </w:p>
        </w:tc>
        <w:tc>
          <w:tcPr>
            <w:tcW w:w="1816" w:type="pct"/>
            <w:tcBorders>
              <w:top w:val="nil"/>
              <w:left w:val="nil"/>
              <w:bottom w:val="single" w:color="auto" w:sz="4" w:space="0"/>
              <w:right w:val="single" w:color="auto" w:sz="4" w:space="0"/>
              <w:tl2br w:val="nil"/>
              <w:tr2bl w:val="nil"/>
            </w:tcBorders>
            <w:vAlign w:val="center"/>
          </w:tcPr>
          <w:p w14:paraId="6E9D74C6">
            <w:pPr>
              <w:widowControl/>
              <w:ind w:firstLine="0" w:firstLineChars="0"/>
              <w:rPr>
                <w:rFonts w:cs="宋体"/>
                <w:szCs w:val="24"/>
              </w:rPr>
            </w:pPr>
            <w:r>
              <w:rPr>
                <w:rFonts w:hint="eastAsia" w:cs="宋体"/>
                <w:szCs w:val="24"/>
              </w:rPr>
              <w:t>资产处置收入</w:t>
            </w:r>
          </w:p>
        </w:tc>
        <w:tc>
          <w:tcPr>
            <w:tcW w:w="1028" w:type="pct"/>
            <w:tcBorders>
              <w:top w:val="nil"/>
              <w:left w:val="nil"/>
              <w:bottom w:val="single" w:color="auto" w:sz="4" w:space="0"/>
              <w:right w:val="single" w:color="auto" w:sz="4" w:space="0"/>
              <w:tl2br w:val="nil"/>
              <w:tr2bl w:val="nil"/>
            </w:tcBorders>
            <w:vAlign w:val="center"/>
          </w:tcPr>
          <w:p w14:paraId="2995CC76">
            <w:pPr>
              <w:widowControl/>
              <w:ind w:firstLine="0" w:firstLineChars="0"/>
              <w:rPr>
                <w:rFonts w:cs="宋体"/>
                <w:szCs w:val="24"/>
              </w:rPr>
            </w:pPr>
            <w:r>
              <w:rPr>
                <w:rFonts w:hint="eastAsia" w:cs="宋体"/>
                <w:szCs w:val="24"/>
              </w:rPr>
              <w:t>资产处置</w:t>
            </w:r>
          </w:p>
        </w:tc>
        <w:tc>
          <w:tcPr>
            <w:tcW w:w="711" w:type="pct"/>
            <w:tcBorders>
              <w:top w:val="nil"/>
              <w:left w:val="nil"/>
              <w:bottom w:val="single" w:color="auto" w:sz="4" w:space="0"/>
              <w:right w:val="single" w:color="auto" w:sz="4" w:space="0"/>
              <w:tl2br w:val="nil"/>
              <w:tr2bl w:val="nil"/>
            </w:tcBorders>
          </w:tcPr>
          <w:p w14:paraId="72D1A082">
            <w:pPr>
              <w:widowControl/>
              <w:ind w:firstLine="0" w:firstLineChars="0"/>
              <w:rPr>
                <w:rFonts w:cs="宋体"/>
                <w:szCs w:val="24"/>
              </w:rPr>
            </w:pPr>
            <w:r>
              <w:rPr>
                <w:rFonts w:hint="eastAsia" w:cs="宋体"/>
                <w:szCs w:val="24"/>
              </w:rPr>
              <w:t>推式</w:t>
            </w:r>
          </w:p>
        </w:tc>
        <w:tc>
          <w:tcPr>
            <w:tcW w:w="1049" w:type="pct"/>
            <w:tcBorders>
              <w:top w:val="nil"/>
              <w:left w:val="nil"/>
              <w:bottom w:val="single" w:color="auto" w:sz="4" w:space="0"/>
              <w:right w:val="single" w:color="auto" w:sz="4" w:space="0"/>
              <w:tl2br w:val="nil"/>
              <w:tr2bl w:val="nil"/>
            </w:tcBorders>
            <w:vAlign w:val="center"/>
          </w:tcPr>
          <w:p w14:paraId="6F078CAA">
            <w:pPr>
              <w:widowControl/>
              <w:ind w:firstLine="0" w:firstLineChars="0"/>
              <w:rPr>
                <w:rFonts w:cs="宋体"/>
                <w:szCs w:val="24"/>
              </w:rPr>
            </w:pPr>
            <w:r>
              <w:rPr>
                <w:rFonts w:hint="eastAsia" w:cs="宋体"/>
                <w:szCs w:val="24"/>
              </w:rPr>
              <w:t>应收事务</w:t>
            </w:r>
          </w:p>
        </w:tc>
      </w:tr>
      <w:tr w14:paraId="1F0690CC">
        <w:tblPrEx>
          <w:tblCellMar>
            <w:top w:w="0" w:type="dxa"/>
            <w:left w:w="108" w:type="dxa"/>
            <w:bottom w:w="0" w:type="dxa"/>
            <w:right w:w="108" w:type="dxa"/>
          </w:tblCellMar>
        </w:tblPrEx>
        <w:trPr>
          <w:trHeight w:val="312" w:hRule="atLeast"/>
        </w:trPr>
        <w:tc>
          <w:tcPr>
            <w:tcW w:w="392" w:type="pct"/>
            <w:tcBorders>
              <w:top w:val="nil"/>
              <w:left w:val="single" w:color="auto" w:sz="4" w:space="0"/>
              <w:bottom w:val="single" w:color="auto" w:sz="4" w:space="0"/>
              <w:right w:val="single" w:color="auto" w:sz="4" w:space="0"/>
              <w:tl2br w:val="nil"/>
              <w:tr2bl w:val="nil"/>
            </w:tcBorders>
            <w:vAlign w:val="center"/>
          </w:tcPr>
          <w:p w14:paraId="61760F98">
            <w:pPr>
              <w:widowControl/>
              <w:ind w:firstLine="0" w:firstLineChars="0"/>
              <w:rPr>
                <w:rFonts w:cs="宋体"/>
                <w:szCs w:val="24"/>
              </w:rPr>
            </w:pPr>
            <w:r>
              <w:rPr>
                <w:rFonts w:hint="eastAsia" w:cs="宋体"/>
                <w:szCs w:val="24"/>
              </w:rPr>
              <w:t>23</w:t>
            </w:r>
          </w:p>
        </w:tc>
        <w:tc>
          <w:tcPr>
            <w:tcW w:w="1816" w:type="pct"/>
            <w:tcBorders>
              <w:top w:val="nil"/>
              <w:left w:val="nil"/>
              <w:bottom w:val="single" w:color="auto" w:sz="4" w:space="0"/>
              <w:right w:val="single" w:color="auto" w:sz="4" w:space="0"/>
              <w:tl2br w:val="nil"/>
              <w:tr2bl w:val="nil"/>
            </w:tcBorders>
            <w:vAlign w:val="center"/>
          </w:tcPr>
          <w:p w14:paraId="09413076">
            <w:pPr>
              <w:widowControl/>
              <w:ind w:firstLine="0" w:firstLineChars="0"/>
              <w:rPr>
                <w:rFonts w:cs="宋体"/>
                <w:szCs w:val="24"/>
              </w:rPr>
            </w:pPr>
            <w:r>
              <w:rPr>
                <w:rFonts w:hint="eastAsia" w:cs="宋体"/>
                <w:szCs w:val="24"/>
              </w:rPr>
              <w:t>安装调试确认应付</w:t>
            </w:r>
          </w:p>
        </w:tc>
        <w:tc>
          <w:tcPr>
            <w:tcW w:w="1028" w:type="pct"/>
            <w:tcBorders>
              <w:top w:val="nil"/>
              <w:left w:val="nil"/>
              <w:bottom w:val="single" w:color="auto" w:sz="4" w:space="0"/>
              <w:right w:val="single" w:color="auto" w:sz="4" w:space="0"/>
              <w:tl2br w:val="nil"/>
              <w:tr2bl w:val="nil"/>
            </w:tcBorders>
            <w:vAlign w:val="center"/>
          </w:tcPr>
          <w:p w14:paraId="24ECC41C">
            <w:pPr>
              <w:widowControl/>
              <w:ind w:firstLine="0" w:firstLineChars="0"/>
              <w:rPr>
                <w:rFonts w:cs="宋体"/>
                <w:szCs w:val="24"/>
              </w:rPr>
            </w:pPr>
            <w:r>
              <w:rPr>
                <w:rFonts w:hint="eastAsia" w:cs="宋体"/>
                <w:szCs w:val="24"/>
              </w:rPr>
              <w:t>安装调试</w:t>
            </w:r>
          </w:p>
        </w:tc>
        <w:tc>
          <w:tcPr>
            <w:tcW w:w="711" w:type="pct"/>
            <w:tcBorders>
              <w:top w:val="nil"/>
              <w:left w:val="nil"/>
              <w:bottom w:val="single" w:color="auto" w:sz="4" w:space="0"/>
              <w:right w:val="single" w:color="auto" w:sz="4" w:space="0"/>
              <w:tl2br w:val="nil"/>
              <w:tr2bl w:val="nil"/>
            </w:tcBorders>
          </w:tcPr>
          <w:p w14:paraId="2A2C2437">
            <w:pPr>
              <w:widowControl/>
              <w:ind w:firstLine="0" w:firstLineChars="0"/>
              <w:rPr>
                <w:rFonts w:cs="宋体"/>
                <w:szCs w:val="24"/>
              </w:rPr>
            </w:pPr>
            <w:r>
              <w:rPr>
                <w:rFonts w:hint="eastAsia" w:cs="宋体"/>
                <w:szCs w:val="24"/>
              </w:rPr>
              <w:t>推式</w:t>
            </w:r>
          </w:p>
        </w:tc>
        <w:tc>
          <w:tcPr>
            <w:tcW w:w="1049" w:type="pct"/>
            <w:tcBorders>
              <w:top w:val="nil"/>
              <w:left w:val="nil"/>
              <w:bottom w:val="single" w:color="auto" w:sz="4" w:space="0"/>
              <w:right w:val="single" w:color="auto" w:sz="4" w:space="0"/>
              <w:tl2br w:val="nil"/>
              <w:tr2bl w:val="nil"/>
            </w:tcBorders>
            <w:vAlign w:val="center"/>
          </w:tcPr>
          <w:p w14:paraId="7A7614BD">
            <w:pPr>
              <w:widowControl/>
              <w:ind w:firstLine="0" w:firstLineChars="0"/>
              <w:rPr>
                <w:rFonts w:cs="宋体"/>
                <w:szCs w:val="24"/>
              </w:rPr>
            </w:pPr>
            <w:r>
              <w:rPr>
                <w:rFonts w:hint="eastAsia" w:cs="宋体"/>
                <w:szCs w:val="24"/>
              </w:rPr>
              <w:t>应付事务</w:t>
            </w:r>
          </w:p>
        </w:tc>
      </w:tr>
    </w:tbl>
    <w:p w14:paraId="59ED9895">
      <w:pPr>
        <w:spacing w:line="360" w:lineRule="auto"/>
        <w:ind w:firstLine="482"/>
        <w:outlineLvl w:val="3"/>
        <w:rPr>
          <w:rFonts w:cs="宋体"/>
          <w:b/>
          <w:kern w:val="2"/>
          <w:szCs w:val="24"/>
        </w:rPr>
      </w:pPr>
      <w:bookmarkStart w:id="326" w:name="_Toc14573"/>
      <w:bookmarkStart w:id="327" w:name="_Toc29573"/>
      <w:bookmarkStart w:id="328" w:name="_Toc8212"/>
      <w:bookmarkStart w:id="329" w:name="_Toc8928"/>
      <w:bookmarkStart w:id="330" w:name="_Toc5236"/>
      <w:bookmarkStart w:id="331" w:name="_Toc28338"/>
      <w:bookmarkStart w:id="332" w:name="_Toc10572"/>
      <w:bookmarkStart w:id="333" w:name="_Toc643"/>
      <w:r>
        <w:rPr>
          <w:rFonts w:hint="eastAsia" w:cs="宋体"/>
          <w:b/>
          <w:kern w:val="2"/>
          <w:szCs w:val="24"/>
        </w:rPr>
        <w:t>9.3与工智道开票系统接口</w:t>
      </w:r>
      <w:bookmarkEnd w:id="326"/>
    </w:p>
    <w:tbl>
      <w:tblPr>
        <w:tblStyle w:val="24"/>
        <w:tblW w:w="5000" w:type="pct"/>
        <w:tblInd w:w="0" w:type="dxa"/>
        <w:tblLayout w:type="autofit"/>
        <w:tblCellMar>
          <w:top w:w="0" w:type="dxa"/>
          <w:left w:w="108" w:type="dxa"/>
          <w:bottom w:w="0" w:type="dxa"/>
          <w:right w:w="108" w:type="dxa"/>
        </w:tblCellMar>
      </w:tblPr>
      <w:tblGrid>
        <w:gridCol w:w="866"/>
        <w:gridCol w:w="3112"/>
        <w:gridCol w:w="1985"/>
        <w:gridCol w:w="1367"/>
        <w:gridCol w:w="1861"/>
      </w:tblGrid>
      <w:tr w14:paraId="77BC8A12">
        <w:tblPrEx>
          <w:tblCellMar>
            <w:top w:w="0" w:type="dxa"/>
            <w:left w:w="108" w:type="dxa"/>
            <w:bottom w:w="0" w:type="dxa"/>
            <w:right w:w="108" w:type="dxa"/>
          </w:tblCellMar>
        </w:tblPrEx>
        <w:trPr>
          <w:trHeight w:val="240" w:hRule="atLeast"/>
        </w:trPr>
        <w:tc>
          <w:tcPr>
            <w:tcW w:w="471" w:type="pct"/>
            <w:tcBorders>
              <w:top w:val="single" w:color="auto" w:sz="4" w:space="0"/>
              <w:left w:val="single" w:color="auto" w:sz="4" w:space="0"/>
              <w:bottom w:val="single" w:color="auto" w:sz="4" w:space="0"/>
              <w:right w:val="single" w:color="auto" w:sz="4" w:space="0"/>
              <w:tl2br w:val="nil"/>
              <w:tr2bl w:val="nil"/>
            </w:tcBorders>
            <w:vAlign w:val="center"/>
          </w:tcPr>
          <w:p w14:paraId="0B0367FF">
            <w:pPr>
              <w:widowControl/>
              <w:ind w:firstLine="0" w:firstLineChars="0"/>
              <w:jc w:val="center"/>
              <w:rPr>
                <w:rFonts w:cs="宋体"/>
                <w:b/>
                <w:szCs w:val="24"/>
              </w:rPr>
            </w:pPr>
            <w:r>
              <w:rPr>
                <w:rFonts w:hint="eastAsia" w:cs="宋体"/>
                <w:b/>
                <w:szCs w:val="24"/>
              </w:rPr>
              <w:t>序号</w:t>
            </w:r>
          </w:p>
        </w:tc>
        <w:tc>
          <w:tcPr>
            <w:tcW w:w="1692" w:type="pct"/>
            <w:tcBorders>
              <w:top w:val="single" w:color="auto" w:sz="4" w:space="0"/>
              <w:left w:val="nil"/>
              <w:bottom w:val="single" w:color="auto" w:sz="4" w:space="0"/>
              <w:right w:val="single" w:color="auto" w:sz="4" w:space="0"/>
              <w:tl2br w:val="nil"/>
              <w:tr2bl w:val="nil"/>
            </w:tcBorders>
            <w:vAlign w:val="center"/>
          </w:tcPr>
          <w:p w14:paraId="1CB94947">
            <w:pPr>
              <w:widowControl/>
              <w:ind w:firstLine="0" w:firstLineChars="0"/>
              <w:jc w:val="center"/>
              <w:rPr>
                <w:rFonts w:cs="宋体"/>
                <w:b/>
                <w:szCs w:val="24"/>
              </w:rPr>
            </w:pPr>
            <w:r>
              <w:rPr>
                <w:rFonts w:hint="eastAsia" w:cs="宋体"/>
                <w:b/>
                <w:szCs w:val="24"/>
              </w:rPr>
              <w:t>接口名称</w:t>
            </w:r>
          </w:p>
        </w:tc>
        <w:tc>
          <w:tcPr>
            <w:tcW w:w="1079" w:type="pct"/>
            <w:tcBorders>
              <w:top w:val="single" w:color="auto" w:sz="4" w:space="0"/>
              <w:left w:val="nil"/>
              <w:bottom w:val="single" w:color="auto" w:sz="4" w:space="0"/>
              <w:right w:val="single" w:color="auto" w:sz="4" w:space="0"/>
              <w:tl2br w:val="nil"/>
              <w:tr2bl w:val="nil"/>
            </w:tcBorders>
            <w:vAlign w:val="center"/>
          </w:tcPr>
          <w:p w14:paraId="0B3CDFA5">
            <w:pPr>
              <w:widowControl/>
              <w:ind w:firstLine="0" w:firstLineChars="0"/>
              <w:jc w:val="center"/>
              <w:rPr>
                <w:rFonts w:cs="宋体"/>
                <w:b/>
                <w:szCs w:val="24"/>
              </w:rPr>
            </w:pPr>
            <w:r>
              <w:rPr>
                <w:rFonts w:hint="eastAsia" w:cs="宋体"/>
                <w:b/>
                <w:szCs w:val="24"/>
              </w:rPr>
              <w:t>资产服务实体</w:t>
            </w:r>
          </w:p>
        </w:tc>
        <w:tc>
          <w:tcPr>
            <w:tcW w:w="743" w:type="pct"/>
            <w:tcBorders>
              <w:top w:val="single" w:color="auto" w:sz="4" w:space="0"/>
              <w:left w:val="nil"/>
              <w:bottom w:val="single" w:color="auto" w:sz="4" w:space="0"/>
              <w:right w:val="single" w:color="auto" w:sz="4" w:space="0"/>
              <w:tl2br w:val="nil"/>
              <w:tr2bl w:val="nil"/>
            </w:tcBorders>
            <w:vAlign w:val="center"/>
          </w:tcPr>
          <w:p w14:paraId="395C6EEB">
            <w:pPr>
              <w:widowControl/>
              <w:ind w:firstLine="0" w:firstLineChars="0"/>
              <w:jc w:val="center"/>
              <w:rPr>
                <w:rFonts w:cs="宋体"/>
                <w:b/>
                <w:szCs w:val="24"/>
              </w:rPr>
            </w:pPr>
            <w:r>
              <w:rPr>
                <w:rFonts w:hint="eastAsia" w:cs="宋体"/>
                <w:b/>
                <w:szCs w:val="24"/>
              </w:rPr>
              <w:t>接口模式</w:t>
            </w:r>
          </w:p>
        </w:tc>
        <w:tc>
          <w:tcPr>
            <w:tcW w:w="1012" w:type="pct"/>
            <w:tcBorders>
              <w:top w:val="single" w:color="auto" w:sz="4" w:space="0"/>
              <w:left w:val="nil"/>
              <w:bottom w:val="single" w:color="auto" w:sz="4" w:space="0"/>
              <w:right w:val="single" w:color="auto" w:sz="4" w:space="0"/>
              <w:tl2br w:val="nil"/>
              <w:tr2bl w:val="nil"/>
            </w:tcBorders>
            <w:vAlign w:val="center"/>
          </w:tcPr>
          <w:p w14:paraId="2A180D22">
            <w:pPr>
              <w:widowControl/>
              <w:ind w:firstLine="0" w:firstLineChars="0"/>
              <w:jc w:val="center"/>
              <w:rPr>
                <w:rFonts w:cs="宋体"/>
                <w:b/>
                <w:szCs w:val="24"/>
              </w:rPr>
            </w:pPr>
            <w:r>
              <w:rPr>
                <w:rFonts w:hint="eastAsia" w:cs="宋体"/>
                <w:b/>
                <w:szCs w:val="24"/>
              </w:rPr>
              <w:t>工智道实体</w:t>
            </w:r>
          </w:p>
        </w:tc>
      </w:tr>
      <w:tr w14:paraId="7F859FB0">
        <w:tblPrEx>
          <w:tblCellMar>
            <w:top w:w="0" w:type="dxa"/>
            <w:left w:w="108" w:type="dxa"/>
            <w:bottom w:w="0" w:type="dxa"/>
            <w:right w:w="108" w:type="dxa"/>
          </w:tblCellMar>
        </w:tblPrEx>
        <w:trPr>
          <w:trHeight w:val="58" w:hRule="atLeast"/>
        </w:trPr>
        <w:tc>
          <w:tcPr>
            <w:tcW w:w="471" w:type="pct"/>
            <w:tcBorders>
              <w:top w:val="nil"/>
              <w:left w:val="single" w:color="auto" w:sz="4" w:space="0"/>
              <w:bottom w:val="single" w:color="auto" w:sz="4" w:space="0"/>
              <w:right w:val="single" w:color="auto" w:sz="4" w:space="0"/>
              <w:tl2br w:val="nil"/>
              <w:tr2bl w:val="nil"/>
            </w:tcBorders>
            <w:vAlign w:val="center"/>
          </w:tcPr>
          <w:p w14:paraId="1709C1A3">
            <w:pPr>
              <w:widowControl/>
              <w:ind w:firstLine="0" w:firstLineChars="0"/>
              <w:rPr>
                <w:rFonts w:cs="宋体"/>
                <w:szCs w:val="24"/>
              </w:rPr>
            </w:pPr>
            <w:r>
              <w:rPr>
                <w:rFonts w:hint="eastAsia" w:cs="宋体"/>
                <w:szCs w:val="24"/>
              </w:rPr>
              <w:t>1</w:t>
            </w:r>
          </w:p>
        </w:tc>
        <w:tc>
          <w:tcPr>
            <w:tcW w:w="1692" w:type="pct"/>
            <w:tcBorders>
              <w:top w:val="nil"/>
              <w:left w:val="nil"/>
              <w:bottom w:val="single" w:color="auto" w:sz="4" w:space="0"/>
              <w:right w:val="single" w:color="auto" w:sz="4" w:space="0"/>
              <w:tl2br w:val="nil"/>
              <w:tr2bl w:val="nil"/>
            </w:tcBorders>
            <w:vAlign w:val="center"/>
          </w:tcPr>
          <w:p w14:paraId="6C564FAC">
            <w:pPr>
              <w:widowControl/>
              <w:ind w:firstLine="0" w:firstLineChars="0"/>
              <w:rPr>
                <w:rFonts w:cs="宋体"/>
                <w:szCs w:val="24"/>
              </w:rPr>
            </w:pPr>
            <w:r>
              <w:rPr>
                <w:rFonts w:hint="eastAsia" w:cs="宋体"/>
                <w:szCs w:val="24"/>
              </w:rPr>
              <w:t>开票信息推维修工单</w:t>
            </w:r>
          </w:p>
        </w:tc>
        <w:tc>
          <w:tcPr>
            <w:tcW w:w="1079" w:type="pct"/>
            <w:tcBorders>
              <w:top w:val="nil"/>
              <w:left w:val="nil"/>
              <w:bottom w:val="single" w:color="auto" w:sz="4" w:space="0"/>
              <w:right w:val="single" w:color="auto" w:sz="4" w:space="0"/>
              <w:tl2br w:val="nil"/>
              <w:tr2bl w:val="nil"/>
            </w:tcBorders>
            <w:vAlign w:val="center"/>
          </w:tcPr>
          <w:p w14:paraId="463B61EF">
            <w:pPr>
              <w:widowControl/>
              <w:ind w:firstLine="0" w:firstLineChars="0"/>
              <w:rPr>
                <w:rFonts w:cs="宋体"/>
                <w:szCs w:val="24"/>
              </w:rPr>
            </w:pPr>
            <w:r>
              <w:rPr>
                <w:rFonts w:hint="eastAsia" w:cs="宋体"/>
                <w:szCs w:val="24"/>
              </w:rPr>
              <w:t>工单</w:t>
            </w:r>
          </w:p>
        </w:tc>
        <w:tc>
          <w:tcPr>
            <w:tcW w:w="743" w:type="pct"/>
            <w:tcBorders>
              <w:top w:val="nil"/>
              <w:left w:val="nil"/>
              <w:bottom w:val="single" w:color="auto" w:sz="4" w:space="0"/>
              <w:right w:val="single" w:color="auto" w:sz="4" w:space="0"/>
              <w:tl2br w:val="nil"/>
              <w:tr2bl w:val="nil"/>
            </w:tcBorders>
            <w:vAlign w:val="center"/>
          </w:tcPr>
          <w:p w14:paraId="6F28EFC1">
            <w:pPr>
              <w:widowControl/>
              <w:ind w:firstLine="0" w:firstLineChars="0"/>
              <w:rPr>
                <w:rFonts w:cs="宋体"/>
                <w:szCs w:val="24"/>
              </w:rPr>
            </w:pPr>
            <w:r>
              <w:rPr>
                <w:rFonts w:hint="eastAsia" w:cs="宋体"/>
                <w:szCs w:val="24"/>
              </w:rPr>
              <w:t>推式</w:t>
            </w:r>
          </w:p>
        </w:tc>
        <w:tc>
          <w:tcPr>
            <w:tcW w:w="1012" w:type="pct"/>
            <w:tcBorders>
              <w:top w:val="nil"/>
              <w:left w:val="nil"/>
              <w:bottom w:val="single" w:color="auto" w:sz="4" w:space="0"/>
              <w:right w:val="single" w:color="auto" w:sz="4" w:space="0"/>
              <w:tl2br w:val="nil"/>
              <w:tr2bl w:val="nil"/>
            </w:tcBorders>
            <w:vAlign w:val="center"/>
          </w:tcPr>
          <w:p w14:paraId="1082A877">
            <w:pPr>
              <w:widowControl/>
              <w:ind w:firstLine="0" w:firstLineChars="0"/>
              <w:rPr>
                <w:rFonts w:cs="宋体"/>
                <w:szCs w:val="24"/>
              </w:rPr>
            </w:pPr>
            <w:r>
              <w:rPr>
                <w:rFonts w:hint="eastAsia" w:cs="宋体"/>
                <w:szCs w:val="24"/>
              </w:rPr>
              <w:t>开票（工作票）</w:t>
            </w:r>
          </w:p>
        </w:tc>
      </w:tr>
    </w:tbl>
    <w:p w14:paraId="444C2790">
      <w:pPr>
        <w:spacing w:line="360" w:lineRule="auto"/>
        <w:ind w:firstLine="482"/>
        <w:outlineLvl w:val="3"/>
        <w:rPr>
          <w:rFonts w:cs="宋体"/>
          <w:b/>
          <w:kern w:val="2"/>
          <w:szCs w:val="24"/>
        </w:rPr>
      </w:pPr>
      <w:bookmarkStart w:id="334" w:name="_Toc57"/>
      <w:r>
        <w:rPr>
          <w:rFonts w:hint="eastAsia" w:cs="宋体"/>
          <w:b/>
          <w:kern w:val="2"/>
          <w:szCs w:val="24"/>
        </w:rPr>
        <w:t>9.4与东南现有数据平台接口</w:t>
      </w:r>
      <w:bookmarkEnd w:id="334"/>
    </w:p>
    <w:p w14:paraId="38968645">
      <w:pPr>
        <w:spacing w:line="360" w:lineRule="auto"/>
        <w:ind w:left="420" w:firstLine="480"/>
        <w:rPr>
          <w:rFonts w:cs="宋体"/>
          <w:bCs/>
          <w:kern w:val="2"/>
          <w:szCs w:val="24"/>
        </w:rPr>
      </w:pPr>
      <w:r>
        <w:rPr>
          <w:rFonts w:hint="eastAsia" w:cs="宋体"/>
          <w:bCs/>
          <w:kern w:val="2"/>
          <w:szCs w:val="24"/>
        </w:rPr>
        <w:t>与东南电化现有数据平台进行对接，采集设备运行数据（如：压力、温度等），可自动生成设备运行记录，减去人工录入运行数据工作量，如设备压力、温度等内容。</w:t>
      </w:r>
    </w:p>
    <w:tbl>
      <w:tblPr>
        <w:tblStyle w:val="24"/>
        <w:tblW w:w="5000" w:type="pct"/>
        <w:tblInd w:w="0" w:type="dxa"/>
        <w:tblLayout w:type="autofit"/>
        <w:tblCellMar>
          <w:top w:w="0" w:type="dxa"/>
          <w:left w:w="108" w:type="dxa"/>
          <w:bottom w:w="0" w:type="dxa"/>
          <w:right w:w="108" w:type="dxa"/>
        </w:tblCellMar>
      </w:tblPr>
      <w:tblGrid>
        <w:gridCol w:w="866"/>
        <w:gridCol w:w="3112"/>
        <w:gridCol w:w="1985"/>
        <w:gridCol w:w="1367"/>
        <w:gridCol w:w="1861"/>
      </w:tblGrid>
      <w:tr w14:paraId="6229394B">
        <w:tblPrEx>
          <w:tblCellMar>
            <w:top w:w="0" w:type="dxa"/>
            <w:left w:w="108" w:type="dxa"/>
            <w:bottom w:w="0" w:type="dxa"/>
            <w:right w:w="108" w:type="dxa"/>
          </w:tblCellMar>
        </w:tblPrEx>
        <w:trPr>
          <w:trHeight w:val="240" w:hRule="atLeast"/>
        </w:trPr>
        <w:tc>
          <w:tcPr>
            <w:tcW w:w="471" w:type="pct"/>
            <w:tcBorders>
              <w:top w:val="single" w:color="auto" w:sz="4" w:space="0"/>
              <w:left w:val="single" w:color="auto" w:sz="4" w:space="0"/>
              <w:bottom w:val="single" w:color="auto" w:sz="4" w:space="0"/>
              <w:right w:val="single" w:color="auto" w:sz="4" w:space="0"/>
              <w:tl2br w:val="nil"/>
              <w:tr2bl w:val="nil"/>
            </w:tcBorders>
            <w:vAlign w:val="center"/>
          </w:tcPr>
          <w:p w14:paraId="01A9DF6F">
            <w:pPr>
              <w:widowControl/>
              <w:ind w:firstLine="0" w:firstLineChars="0"/>
              <w:jc w:val="center"/>
              <w:rPr>
                <w:rFonts w:cs="宋体"/>
                <w:b/>
                <w:szCs w:val="24"/>
              </w:rPr>
            </w:pPr>
            <w:r>
              <w:rPr>
                <w:rFonts w:hint="eastAsia" w:cs="宋体"/>
                <w:b/>
                <w:szCs w:val="24"/>
              </w:rPr>
              <w:t>序号</w:t>
            </w:r>
          </w:p>
        </w:tc>
        <w:tc>
          <w:tcPr>
            <w:tcW w:w="1692" w:type="pct"/>
            <w:tcBorders>
              <w:top w:val="single" w:color="auto" w:sz="4" w:space="0"/>
              <w:left w:val="nil"/>
              <w:bottom w:val="single" w:color="auto" w:sz="4" w:space="0"/>
              <w:right w:val="single" w:color="auto" w:sz="4" w:space="0"/>
              <w:tl2br w:val="nil"/>
              <w:tr2bl w:val="nil"/>
            </w:tcBorders>
            <w:vAlign w:val="center"/>
          </w:tcPr>
          <w:p w14:paraId="6CED5B0C">
            <w:pPr>
              <w:widowControl/>
              <w:ind w:firstLine="0" w:firstLineChars="0"/>
              <w:jc w:val="center"/>
              <w:rPr>
                <w:rFonts w:cs="宋体"/>
                <w:b/>
                <w:szCs w:val="24"/>
              </w:rPr>
            </w:pPr>
            <w:r>
              <w:rPr>
                <w:rFonts w:hint="eastAsia" w:cs="宋体"/>
                <w:b/>
                <w:szCs w:val="24"/>
              </w:rPr>
              <w:t>接口名称</w:t>
            </w:r>
          </w:p>
        </w:tc>
        <w:tc>
          <w:tcPr>
            <w:tcW w:w="1079" w:type="pct"/>
            <w:tcBorders>
              <w:top w:val="single" w:color="auto" w:sz="4" w:space="0"/>
              <w:left w:val="nil"/>
              <w:bottom w:val="single" w:color="auto" w:sz="4" w:space="0"/>
              <w:right w:val="single" w:color="auto" w:sz="4" w:space="0"/>
              <w:tl2br w:val="nil"/>
              <w:tr2bl w:val="nil"/>
            </w:tcBorders>
            <w:vAlign w:val="center"/>
          </w:tcPr>
          <w:p w14:paraId="68CABE44">
            <w:pPr>
              <w:widowControl/>
              <w:ind w:firstLine="0" w:firstLineChars="0"/>
              <w:jc w:val="center"/>
              <w:rPr>
                <w:rFonts w:cs="宋体"/>
                <w:b/>
                <w:szCs w:val="24"/>
              </w:rPr>
            </w:pPr>
            <w:r>
              <w:rPr>
                <w:rFonts w:hint="eastAsia" w:cs="宋体"/>
                <w:b/>
                <w:szCs w:val="24"/>
              </w:rPr>
              <w:t>资产服务实体</w:t>
            </w:r>
          </w:p>
        </w:tc>
        <w:tc>
          <w:tcPr>
            <w:tcW w:w="743" w:type="pct"/>
            <w:tcBorders>
              <w:top w:val="single" w:color="auto" w:sz="4" w:space="0"/>
              <w:left w:val="nil"/>
              <w:bottom w:val="single" w:color="auto" w:sz="4" w:space="0"/>
              <w:right w:val="single" w:color="auto" w:sz="4" w:space="0"/>
              <w:tl2br w:val="nil"/>
              <w:tr2bl w:val="nil"/>
            </w:tcBorders>
            <w:vAlign w:val="center"/>
          </w:tcPr>
          <w:p w14:paraId="44F21317">
            <w:pPr>
              <w:widowControl/>
              <w:ind w:firstLine="0" w:firstLineChars="0"/>
              <w:jc w:val="center"/>
              <w:rPr>
                <w:rFonts w:cs="宋体"/>
                <w:b/>
                <w:szCs w:val="24"/>
              </w:rPr>
            </w:pPr>
            <w:r>
              <w:rPr>
                <w:rFonts w:hint="eastAsia" w:cs="宋体"/>
                <w:b/>
                <w:szCs w:val="24"/>
              </w:rPr>
              <w:t>接口模式</w:t>
            </w:r>
          </w:p>
        </w:tc>
        <w:tc>
          <w:tcPr>
            <w:tcW w:w="1012" w:type="pct"/>
            <w:tcBorders>
              <w:top w:val="single" w:color="auto" w:sz="4" w:space="0"/>
              <w:left w:val="nil"/>
              <w:bottom w:val="single" w:color="auto" w:sz="4" w:space="0"/>
              <w:right w:val="single" w:color="auto" w:sz="4" w:space="0"/>
              <w:tl2br w:val="nil"/>
              <w:tr2bl w:val="nil"/>
            </w:tcBorders>
            <w:vAlign w:val="center"/>
          </w:tcPr>
          <w:p w14:paraId="15D331C6">
            <w:pPr>
              <w:widowControl/>
              <w:ind w:firstLine="0" w:firstLineChars="0"/>
              <w:jc w:val="center"/>
              <w:rPr>
                <w:rFonts w:cs="宋体"/>
                <w:b/>
                <w:szCs w:val="24"/>
              </w:rPr>
            </w:pPr>
            <w:r>
              <w:rPr>
                <w:rFonts w:hint="eastAsia" w:cs="宋体"/>
                <w:b/>
                <w:szCs w:val="24"/>
              </w:rPr>
              <w:t>数据平台实体</w:t>
            </w:r>
          </w:p>
        </w:tc>
      </w:tr>
      <w:tr w14:paraId="59E5F8F8">
        <w:tblPrEx>
          <w:tblCellMar>
            <w:top w:w="0" w:type="dxa"/>
            <w:left w:w="108" w:type="dxa"/>
            <w:bottom w:w="0" w:type="dxa"/>
            <w:right w:w="108" w:type="dxa"/>
          </w:tblCellMar>
        </w:tblPrEx>
        <w:trPr>
          <w:trHeight w:val="58" w:hRule="atLeast"/>
        </w:trPr>
        <w:tc>
          <w:tcPr>
            <w:tcW w:w="471" w:type="pct"/>
            <w:tcBorders>
              <w:top w:val="nil"/>
              <w:left w:val="single" w:color="auto" w:sz="4" w:space="0"/>
              <w:bottom w:val="single" w:color="auto" w:sz="4" w:space="0"/>
              <w:right w:val="single" w:color="auto" w:sz="4" w:space="0"/>
              <w:tl2br w:val="nil"/>
              <w:tr2bl w:val="nil"/>
            </w:tcBorders>
            <w:vAlign w:val="center"/>
          </w:tcPr>
          <w:p w14:paraId="6287CD35">
            <w:pPr>
              <w:widowControl/>
              <w:ind w:firstLine="0" w:firstLineChars="0"/>
              <w:rPr>
                <w:rFonts w:cs="宋体"/>
                <w:szCs w:val="24"/>
              </w:rPr>
            </w:pPr>
            <w:r>
              <w:rPr>
                <w:rFonts w:hint="eastAsia" w:cs="宋体"/>
                <w:szCs w:val="24"/>
              </w:rPr>
              <w:t>1</w:t>
            </w:r>
          </w:p>
        </w:tc>
        <w:tc>
          <w:tcPr>
            <w:tcW w:w="1692" w:type="pct"/>
            <w:tcBorders>
              <w:top w:val="nil"/>
              <w:left w:val="nil"/>
              <w:bottom w:val="single" w:color="auto" w:sz="4" w:space="0"/>
              <w:right w:val="single" w:color="auto" w:sz="4" w:space="0"/>
              <w:tl2br w:val="nil"/>
              <w:tr2bl w:val="nil"/>
            </w:tcBorders>
            <w:vAlign w:val="center"/>
          </w:tcPr>
          <w:p w14:paraId="0ED857BA">
            <w:pPr>
              <w:widowControl/>
              <w:ind w:firstLine="0" w:firstLineChars="0"/>
              <w:rPr>
                <w:rFonts w:cs="宋体"/>
                <w:szCs w:val="24"/>
              </w:rPr>
            </w:pPr>
            <w:r>
              <w:rPr>
                <w:rFonts w:hint="eastAsia" w:cs="宋体"/>
                <w:szCs w:val="24"/>
              </w:rPr>
              <w:t>运行记录</w:t>
            </w:r>
          </w:p>
        </w:tc>
        <w:tc>
          <w:tcPr>
            <w:tcW w:w="1079" w:type="pct"/>
            <w:tcBorders>
              <w:top w:val="nil"/>
              <w:left w:val="nil"/>
              <w:bottom w:val="single" w:color="auto" w:sz="4" w:space="0"/>
              <w:right w:val="single" w:color="auto" w:sz="4" w:space="0"/>
              <w:tl2br w:val="nil"/>
              <w:tr2bl w:val="nil"/>
            </w:tcBorders>
            <w:vAlign w:val="center"/>
          </w:tcPr>
          <w:p w14:paraId="1CAA3C82">
            <w:pPr>
              <w:widowControl/>
              <w:ind w:firstLine="0" w:firstLineChars="0"/>
              <w:rPr>
                <w:rFonts w:cs="宋体"/>
                <w:szCs w:val="24"/>
              </w:rPr>
            </w:pPr>
            <w:r>
              <w:rPr>
                <w:rFonts w:hint="eastAsia" w:cs="宋体"/>
                <w:szCs w:val="24"/>
              </w:rPr>
              <w:t>运行记录单</w:t>
            </w:r>
          </w:p>
        </w:tc>
        <w:tc>
          <w:tcPr>
            <w:tcW w:w="743" w:type="pct"/>
            <w:tcBorders>
              <w:top w:val="nil"/>
              <w:left w:val="nil"/>
              <w:bottom w:val="single" w:color="auto" w:sz="4" w:space="0"/>
              <w:right w:val="single" w:color="auto" w:sz="4" w:space="0"/>
              <w:tl2br w:val="nil"/>
              <w:tr2bl w:val="nil"/>
            </w:tcBorders>
            <w:vAlign w:val="center"/>
          </w:tcPr>
          <w:p w14:paraId="49E01B12">
            <w:pPr>
              <w:widowControl/>
              <w:ind w:firstLine="0" w:firstLineChars="0"/>
              <w:rPr>
                <w:rFonts w:cs="宋体"/>
                <w:szCs w:val="24"/>
              </w:rPr>
            </w:pPr>
            <w:r>
              <w:rPr>
                <w:rFonts w:hint="eastAsia" w:cs="宋体"/>
                <w:szCs w:val="24"/>
              </w:rPr>
              <w:t>拉式</w:t>
            </w:r>
          </w:p>
        </w:tc>
        <w:tc>
          <w:tcPr>
            <w:tcW w:w="1012" w:type="pct"/>
            <w:tcBorders>
              <w:top w:val="nil"/>
              <w:left w:val="nil"/>
              <w:bottom w:val="single" w:color="auto" w:sz="4" w:space="0"/>
              <w:right w:val="single" w:color="auto" w:sz="4" w:space="0"/>
              <w:tl2br w:val="nil"/>
              <w:tr2bl w:val="nil"/>
            </w:tcBorders>
            <w:vAlign w:val="center"/>
          </w:tcPr>
          <w:p w14:paraId="357B6532">
            <w:pPr>
              <w:widowControl/>
              <w:ind w:firstLine="0" w:firstLineChars="0"/>
              <w:rPr>
                <w:rFonts w:cs="宋体"/>
                <w:szCs w:val="24"/>
              </w:rPr>
            </w:pPr>
            <w:r>
              <w:rPr>
                <w:rFonts w:hint="eastAsia" w:cs="宋体"/>
                <w:szCs w:val="24"/>
              </w:rPr>
              <w:t>设备运行记录表</w:t>
            </w:r>
          </w:p>
        </w:tc>
      </w:tr>
    </w:tbl>
    <w:p w14:paraId="668D18B5">
      <w:pPr>
        <w:spacing w:line="360" w:lineRule="auto"/>
        <w:ind w:firstLine="480"/>
        <w:rPr>
          <w:rFonts w:cs="宋体"/>
          <w:bCs/>
          <w:kern w:val="2"/>
          <w:szCs w:val="24"/>
        </w:rPr>
      </w:pPr>
    </w:p>
    <w:p w14:paraId="4DF9D70E">
      <w:pPr>
        <w:widowControl/>
        <w:spacing w:line="360" w:lineRule="auto"/>
        <w:ind w:firstLine="643"/>
        <w:jc w:val="left"/>
        <w:outlineLvl w:val="1"/>
        <w:rPr>
          <w:rFonts w:ascii="楷体_GB2312" w:hAnsi="楷体_GB2312" w:eastAsia="楷体_GB2312" w:cs="楷体_GB2312"/>
          <w:b/>
          <w:kern w:val="2"/>
          <w:sz w:val="32"/>
          <w:szCs w:val="32"/>
        </w:rPr>
      </w:pPr>
      <w:bookmarkStart w:id="335" w:name="_Toc16781"/>
      <w:r>
        <w:rPr>
          <w:rFonts w:hint="eastAsia" w:ascii="楷体_GB2312" w:hAnsi="楷体_GB2312" w:eastAsia="楷体_GB2312" w:cs="楷体_GB2312"/>
          <w:b/>
          <w:kern w:val="2"/>
          <w:sz w:val="32"/>
          <w:szCs w:val="32"/>
        </w:rPr>
        <w:t>（二）系统技术要求</w:t>
      </w:r>
      <w:bookmarkEnd w:id="327"/>
      <w:bookmarkEnd w:id="328"/>
      <w:bookmarkEnd w:id="329"/>
      <w:bookmarkEnd w:id="330"/>
      <w:bookmarkEnd w:id="331"/>
      <w:bookmarkEnd w:id="332"/>
      <w:bookmarkEnd w:id="333"/>
      <w:bookmarkEnd w:id="335"/>
    </w:p>
    <w:p w14:paraId="04BC253B">
      <w:pPr>
        <w:ind w:firstLine="643"/>
        <w:outlineLvl w:val="2"/>
        <w:rPr>
          <w:rFonts w:cs="宋体"/>
          <w:b/>
          <w:kern w:val="2"/>
          <w:sz w:val="32"/>
          <w:szCs w:val="32"/>
        </w:rPr>
      </w:pPr>
      <w:bookmarkStart w:id="336" w:name="_Toc9663"/>
      <w:bookmarkStart w:id="337" w:name="_Toc6171"/>
      <w:bookmarkStart w:id="338" w:name="_Toc27231"/>
      <w:bookmarkStart w:id="339" w:name="_Toc9196"/>
      <w:bookmarkStart w:id="340" w:name="_Toc20826"/>
      <w:bookmarkStart w:id="341" w:name="_Toc23081"/>
      <w:bookmarkStart w:id="342" w:name="_Toc30234"/>
      <w:r>
        <w:rPr>
          <w:rFonts w:hint="eastAsia" w:cs="宋体"/>
          <w:b/>
          <w:kern w:val="2"/>
          <w:sz w:val="32"/>
          <w:szCs w:val="32"/>
        </w:rPr>
        <w:t>1.系统架构</w:t>
      </w:r>
      <w:bookmarkEnd w:id="336"/>
      <w:bookmarkEnd w:id="337"/>
      <w:bookmarkEnd w:id="338"/>
      <w:bookmarkEnd w:id="339"/>
      <w:bookmarkEnd w:id="340"/>
      <w:bookmarkEnd w:id="341"/>
      <w:bookmarkEnd w:id="342"/>
    </w:p>
    <w:p w14:paraId="40ED068D">
      <w:pPr>
        <w:spacing w:line="360" w:lineRule="auto"/>
        <w:ind w:left="420" w:firstLine="480"/>
        <w:rPr>
          <w:rFonts w:cs="宋体"/>
          <w:bCs/>
          <w:kern w:val="2"/>
          <w:szCs w:val="24"/>
        </w:rPr>
      </w:pPr>
      <w:r>
        <w:rPr>
          <w:rFonts w:cs="宋体"/>
          <w:bCs/>
          <w:kern w:val="2"/>
          <w:szCs w:val="24"/>
        </w:rPr>
        <w:t>系统平台应采用三层体系技术架构，即用户层、应用层和数据层。用户层主要指呈现给用户使用的人机界面，要求尽可能的简单，用户经过简单培训就能方便地访问信息；应用层包含所有的系统服务、应用服务、业务逻辑、流程控制等；数据层存储大量的数据信息和数据逻辑，所有与数据有关的安全、完整性控制、数据的一致性、并发操作等都是在数据层完成。</w:t>
      </w:r>
    </w:p>
    <w:p w14:paraId="602118F3">
      <w:pPr>
        <w:numPr>
          <w:ilvl w:val="0"/>
          <w:numId w:val="15"/>
        </w:numPr>
        <w:spacing w:line="360" w:lineRule="auto"/>
        <w:ind w:firstLine="480"/>
        <w:rPr>
          <w:rFonts w:cs="宋体"/>
          <w:bCs/>
          <w:kern w:val="2"/>
          <w:szCs w:val="24"/>
        </w:rPr>
      </w:pPr>
      <w:r>
        <w:rPr>
          <w:rFonts w:hint="eastAsia" w:cs="宋体"/>
          <w:bCs/>
          <w:kern w:val="2"/>
          <w:szCs w:val="24"/>
        </w:rPr>
        <w:t>系统架构:</w:t>
      </w:r>
      <w:r>
        <w:rPr>
          <w:rFonts w:cs="宋体"/>
          <w:bCs/>
          <w:kern w:val="2"/>
          <w:szCs w:val="24"/>
        </w:rPr>
        <w:t> </w:t>
      </w:r>
      <w:r>
        <w:rPr>
          <w:rFonts w:hint="eastAsia" w:cs="宋体"/>
          <w:bCs/>
          <w:kern w:val="2"/>
          <w:szCs w:val="24"/>
        </w:rPr>
        <w:t>B/S</w:t>
      </w:r>
      <w:r>
        <w:rPr>
          <w:rFonts w:cs="宋体"/>
          <w:bCs/>
          <w:kern w:val="2"/>
          <w:szCs w:val="24"/>
        </w:rPr>
        <w:t>架构，</w:t>
      </w:r>
      <w:r>
        <w:rPr>
          <w:rFonts w:hint="eastAsia" w:cs="宋体"/>
          <w:bCs/>
          <w:kern w:val="2"/>
          <w:szCs w:val="24"/>
        </w:rPr>
        <w:t>主程序采用Java语言体系开发，</w:t>
      </w:r>
      <w:r>
        <w:rPr>
          <w:rFonts w:cs="宋体"/>
          <w:bCs/>
          <w:kern w:val="2"/>
          <w:szCs w:val="24"/>
        </w:rPr>
        <w:t>实现系统高可用性、可扩展性，并能够应对未来业务增长。</w:t>
      </w:r>
    </w:p>
    <w:p w14:paraId="70C71849">
      <w:pPr>
        <w:numPr>
          <w:ilvl w:val="0"/>
          <w:numId w:val="15"/>
        </w:numPr>
        <w:spacing w:line="360" w:lineRule="auto"/>
        <w:ind w:firstLine="480"/>
        <w:rPr>
          <w:rFonts w:cs="宋体"/>
          <w:bCs/>
          <w:kern w:val="2"/>
          <w:szCs w:val="24"/>
        </w:rPr>
      </w:pPr>
      <w:r>
        <w:rPr>
          <w:rFonts w:cs="宋体"/>
          <w:bCs/>
          <w:kern w:val="2"/>
          <w:szCs w:val="24"/>
        </w:rPr>
        <w:t>服务化设计: 将</w:t>
      </w:r>
      <w:r>
        <w:rPr>
          <w:rFonts w:hint="eastAsia" w:cs="宋体"/>
          <w:bCs/>
          <w:kern w:val="2"/>
          <w:szCs w:val="24"/>
        </w:rPr>
        <w:t>系统</w:t>
      </w:r>
      <w:r>
        <w:rPr>
          <w:rFonts w:cs="宋体"/>
          <w:bCs/>
          <w:kern w:val="2"/>
          <w:szCs w:val="24"/>
        </w:rPr>
        <w:t>功能模块化，通过服务接口进行交互，提高系统的可维护性和可扩展性。</w:t>
      </w:r>
    </w:p>
    <w:p w14:paraId="20FBABF2">
      <w:pPr>
        <w:numPr>
          <w:ilvl w:val="0"/>
          <w:numId w:val="15"/>
        </w:numPr>
        <w:spacing w:line="360" w:lineRule="auto"/>
        <w:ind w:firstLine="480"/>
        <w:rPr>
          <w:rFonts w:cs="宋体"/>
          <w:bCs/>
          <w:kern w:val="2"/>
          <w:szCs w:val="24"/>
        </w:rPr>
      </w:pPr>
      <w:r>
        <w:rPr>
          <w:rFonts w:cs="宋体"/>
          <w:bCs/>
          <w:kern w:val="2"/>
          <w:szCs w:val="24"/>
        </w:rPr>
        <w:t>容器化部署: </w:t>
      </w:r>
      <w:r>
        <w:rPr>
          <w:rFonts w:hint="eastAsia" w:cs="宋体"/>
          <w:bCs/>
          <w:kern w:val="2"/>
          <w:szCs w:val="24"/>
        </w:rPr>
        <w:t>支持</w:t>
      </w:r>
      <w:r>
        <w:rPr>
          <w:rFonts w:cs="宋体"/>
          <w:bCs/>
          <w:kern w:val="2"/>
          <w:szCs w:val="24"/>
        </w:rPr>
        <w:t>容器技术，实现快速部署和环境一致性，提高系统的稳定性和可移植性。</w:t>
      </w:r>
    </w:p>
    <w:p w14:paraId="72002D77">
      <w:pPr>
        <w:numPr>
          <w:ilvl w:val="0"/>
          <w:numId w:val="15"/>
        </w:numPr>
        <w:spacing w:line="360" w:lineRule="auto"/>
        <w:ind w:firstLine="480"/>
        <w:rPr>
          <w:szCs w:val="24"/>
        </w:rPr>
      </w:pPr>
      <w:r>
        <w:rPr>
          <w:rFonts w:cs="宋体"/>
          <w:bCs/>
          <w:kern w:val="2"/>
          <w:szCs w:val="24"/>
        </w:rPr>
        <w:t>微服务架构: </w:t>
      </w:r>
      <w:r>
        <w:rPr>
          <w:rFonts w:hint="eastAsia" w:cs="宋体"/>
          <w:bCs/>
          <w:kern w:val="2"/>
          <w:szCs w:val="24"/>
        </w:rPr>
        <w:t>支持</w:t>
      </w:r>
      <w:r>
        <w:rPr>
          <w:rFonts w:cs="宋体"/>
          <w:bCs/>
          <w:kern w:val="2"/>
          <w:szCs w:val="24"/>
        </w:rPr>
        <w:t>将</w:t>
      </w:r>
      <w:r>
        <w:rPr>
          <w:rFonts w:hint="eastAsia" w:cs="宋体"/>
          <w:bCs/>
          <w:kern w:val="2"/>
          <w:szCs w:val="24"/>
        </w:rPr>
        <w:t>系统</w:t>
      </w:r>
      <w:r>
        <w:rPr>
          <w:rFonts w:cs="宋体"/>
          <w:bCs/>
          <w:kern w:val="2"/>
          <w:szCs w:val="24"/>
        </w:rPr>
        <w:t>功能拆分成多个独立的服务，并通过API进行交互，提高系统的灵活性和可维护性。</w:t>
      </w:r>
    </w:p>
    <w:p w14:paraId="0BDD242C">
      <w:pPr>
        <w:numPr>
          <w:ilvl w:val="0"/>
          <w:numId w:val="15"/>
        </w:numPr>
        <w:spacing w:line="360" w:lineRule="auto"/>
        <w:ind w:firstLine="480"/>
        <w:rPr>
          <w:szCs w:val="24"/>
        </w:rPr>
      </w:pPr>
      <w:r>
        <w:rPr>
          <w:rFonts w:hint="eastAsia" w:cs="宋体"/>
          <w:bCs/>
          <w:kern w:val="2"/>
          <w:szCs w:val="24"/>
        </w:rPr>
        <w:t>系统应具有良好的开放性和可扩展性，便于企业未来发展需要进行功能扩展，同时提供可柔性组合定制的系统接口、设备接口、业务模块以及简易的二次开发功能，满足企业的个性化应用。</w:t>
      </w:r>
    </w:p>
    <w:p w14:paraId="3DC15BDD">
      <w:pPr>
        <w:numPr>
          <w:ilvl w:val="0"/>
          <w:numId w:val="15"/>
        </w:numPr>
        <w:spacing w:line="360" w:lineRule="auto"/>
        <w:ind w:firstLine="480"/>
        <w:rPr>
          <w:szCs w:val="24"/>
        </w:rPr>
      </w:pPr>
      <w:r>
        <w:rPr>
          <w:rFonts w:hint="eastAsia"/>
          <w:szCs w:val="24"/>
        </w:rPr>
        <w:t>投标人的软件平台需具有统一的界面规范标准及配套的开发工具，须在方案中详细介绍，并配有清晰的产品截图。</w:t>
      </w:r>
    </w:p>
    <w:p w14:paraId="3DEE09BF">
      <w:pPr>
        <w:numPr>
          <w:ilvl w:val="0"/>
          <w:numId w:val="15"/>
        </w:numPr>
        <w:spacing w:line="360" w:lineRule="auto"/>
        <w:ind w:firstLine="480"/>
        <w:rPr>
          <w:szCs w:val="24"/>
        </w:rPr>
      </w:pPr>
      <w:r>
        <w:rPr>
          <w:rFonts w:hint="eastAsia" w:cs="宋体"/>
          <w:bCs/>
          <w:kern w:val="2"/>
          <w:szCs w:val="24"/>
        </w:rPr>
        <w:t>投标人的</w:t>
      </w:r>
      <w:r>
        <w:rPr>
          <w:rFonts w:hint="eastAsia"/>
          <w:szCs w:val="24"/>
        </w:rPr>
        <w:t>软件平台</w:t>
      </w:r>
      <w:r>
        <w:rPr>
          <w:rFonts w:hint="eastAsia" w:cs="宋体"/>
          <w:bCs/>
          <w:kern w:val="2"/>
          <w:szCs w:val="24"/>
        </w:rPr>
        <w:t>需支持集团版，要有专业评测机构提供的软件测试报告、代码审计报告和安全测试报告。</w:t>
      </w:r>
    </w:p>
    <w:p w14:paraId="6FF8C3C5">
      <w:pPr>
        <w:ind w:firstLine="643"/>
        <w:outlineLvl w:val="2"/>
        <w:rPr>
          <w:rFonts w:cs="宋体"/>
          <w:b/>
          <w:kern w:val="2"/>
          <w:sz w:val="32"/>
          <w:szCs w:val="32"/>
        </w:rPr>
      </w:pPr>
      <w:bookmarkStart w:id="343" w:name="_Toc1730"/>
      <w:bookmarkStart w:id="344" w:name="_Toc6728"/>
      <w:bookmarkStart w:id="345" w:name="_Toc28567"/>
      <w:bookmarkStart w:id="346" w:name="_Toc22734"/>
      <w:bookmarkStart w:id="347" w:name="_Toc10503"/>
      <w:bookmarkStart w:id="348" w:name="_Toc13884"/>
      <w:bookmarkStart w:id="349" w:name="_Toc31646"/>
      <w:r>
        <w:rPr>
          <w:rFonts w:hint="eastAsia" w:cs="宋体"/>
          <w:b/>
          <w:kern w:val="2"/>
          <w:sz w:val="32"/>
          <w:szCs w:val="32"/>
        </w:rPr>
        <w:t>2.系统安全</w:t>
      </w:r>
      <w:bookmarkEnd w:id="343"/>
      <w:bookmarkEnd w:id="344"/>
      <w:bookmarkEnd w:id="345"/>
      <w:bookmarkEnd w:id="346"/>
      <w:bookmarkEnd w:id="347"/>
      <w:bookmarkEnd w:id="348"/>
      <w:bookmarkEnd w:id="349"/>
    </w:p>
    <w:p w14:paraId="357B3F2C">
      <w:pPr>
        <w:numPr>
          <w:ilvl w:val="0"/>
          <w:numId w:val="16"/>
        </w:numPr>
        <w:spacing w:line="360" w:lineRule="auto"/>
        <w:ind w:firstLine="480"/>
        <w:rPr>
          <w:rFonts w:cs="宋体"/>
          <w:bCs/>
          <w:kern w:val="2"/>
          <w:szCs w:val="24"/>
        </w:rPr>
      </w:pPr>
      <w:r>
        <w:rPr>
          <w:rFonts w:cs="宋体"/>
          <w:bCs/>
          <w:kern w:val="2"/>
          <w:szCs w:val="24"/>
        </w:rPr>
        <w:t>身份认证和授权:采用多因素身份认证，并实施细粒度的权限控制，确保系统安全性和数据安全。</w:t>
      </w:r>
    </w:p>
    <w:p w14:paraId="54335652">
      <w:pPr>
        <w:numPr>
          <w:ilvl w:val="0"/>
          <w:numId w:val="16"/>
        </w:numPr>
        <w:spacing w:line="360" w:lineRule="auto"/>
        <w:ind w:firstLine="480"/>
        <w:rPr>
          <w:rFonts w:cs="宋体"/>
          <w:bCs/>
          <w:kern w:val="2"/>
          <w:szCs w:val="24"/>
        </w:rPr>
      </w:pPr>
      <w:r>
        <w:rPr>
          <w:rFonts w:cs="宋体"/>
          <w:bCs/>
          <w:kern w:val="2"/>
          <w:szCs w:val="24"/>
        </w:rPr>
        <w:t>数据加密:对敏感数据进行加密存储和传输，确保数据安全。</w:t>
      </w:r>
    </w:p>
    <w:p w14:paraId="508371BD">
      <w:pPr>
        <w:numPr>
          <w:ilvl w:val="0"/>
          <w:numId w:val="16"/>
        </w:numPr>
        <w:spacing w:line="360" w:lineRule="auto"/>
        <w:ind w:firstLine="480"/>
        <w:rPr>
          <w:rFonts w:cs="宋体"/>
          <w:bCs/>
          <w:kern w:val="2"/>
          <w:szCs w:val="24"/>
        </w:rPr>
      </w:pPr>
      <w:r>
        <w:rPr>
          <w:rFonts w:cs="宋体"/>
          <w:bCs/>
          <w:kern w:val="2"/>
          <w:szCs w:val="24"/>
        </w:rPr>
        <w:t>安全漏洞扫描:</w:t>
      </w:r>
      <w:r>
        <w:rPr>
          <w:rFonts w:hint="eastAsia" w:cs="宋体"/>
          <w:bCs/>
          <w:kern w:val="2"/>
          <w:szCs w:val="24"/>
        </w:rPr>
        <w:t>部署系统必需</w:t>
      </w:r>
      <w:r>
        <w:rPr>
          <w:rFonts w:cs="宋体"/>
          <w:bCs/>
          <w:kern w:val="2"/>
          <w:szCs w:val="24"/>
        </w:rPr>
        <w:t>进行安全漏洞扫描，并及时修复漏洞，确保系统安全。</w:t>
      </w:r>
    </w:p>
    <w:p w14:paraId="5DAF335B">
      <w:pPr>
        <w:numPr>
          <w:ilvl w:val="0"/>
          <w:numId w:val="16"/>
        </w:numPr>
        <w:spacing w:line="360" w:lineRule="auto"/>
        <w:ind w:firstLine="480"/>
        <w:rPr>
          <w:rFonts w:cs="宋体"/>
          <w:bCs/>
          <w:kern w:val="2"/>
          <w:szCs w:val="24"/>
        </w:rPr>
      </w:pPr>
      <w:r>
        <w:rPr>
          <w:rFonts w:cs="宋体"/>
          <w:bCs/>
          <w:kern w:val="2"/>
          <w:szCs w:val="24"/>
        </w:rPr>
        <w:t>日志审计:记录用户操作和系统运行日志，方便追踪问题和进行安全审计。</w:t>
      </w:r>
    </w:p>
    <w:p w14:paraId="2551FFC7">
      <w:pPr>
        <w:numPr>
          <w:ilvl w:val="0"/>
          <w:numId w:val="16"/>
        </w:numPr>
        <w:spacing w:line="360" w:lineRule="auto"/>
        <w:ind w:firstLine="480"/>
        <w:rPr>
          <w:rFonts w:cs="宋体"/>
          <w:bCs/>
          <w:kern w:val="2"/>
          <w:szCs w:val="24"/>
        </w:rPr>
      </w:pPr>
      <w:r>
        <w:rPr>
          <w:rFonts w:cs="宋体"/>
          <w:bCs/>
          <w:kern w:val="2"/>
          <w:szCs w:val="24"/>
        </w:rPr>
        <w:t>入侵防御:部署入侵防御系统，监测网络流量，防御恶意攻击。</w:t>
      </w:r>
    </w:p>
    <w:p w14:paraId="55CE4757">
      <w:pPr>
        <w:numPr>
          <w:ilvl w:val="0"/>
          <w:numId w:val="16"/>
        </w:numPr>
        <w:spacing w:line="360" w:lineRule="auto"/>
        <w:ind w:firstLine="480"/>
        <w:rPr>
          <w:rFonts w:cs="宋体"/>
          <w:bCs/>
          <w:kern w:val="2"/>
          <w:sz w:val="28"/>
          <w:szCs w:val="28"/>
        </w:rPr>
      </w:pPr>
      <w:r>
        <w:rPr>
          <w:rFonts w:cs="宋体"/>
          <w:bCs/>
          <w:kern w:val="2"/>
          <w:szCs w:val="24"/>
        </w:rPr>
        <w:t>数据备份和恢复:定期进行数据备份，确保数据安全。</w:t>
      </w:r>
    </w:p>
    <w:p w14:paraId="6593AA79">
      <w:pPr>
        <w:ind w:firstLine="643"/>
        <w:outlineLvl w:val="2"/>
        <w:rPr>
          <w:rFonts w:cs="宋体"/>
          <w:b/>
          <w:kern w:val="2"/>
          <w:sz w:val="32"/>
          <w:szCs w:val="32"/>
        </w:rPr>
      </w:pPr>
      <w:bookmarkStart w:id="350" w:name="_Toc9033"/>
      <w:bookmarkStart w:id="351" w:name="_Toc29574"/>
      <w:bookmarkStart w:id="352" w:name="_Toc15215"/>
      <w:bookmarkStart w:id="353" w:name="_Toc12429"/>
      <w:bookmarkStart w:id="354" w:name="_Toc23138"/>
      <w:bookmarkStart w:id="355" w:name="_Toc21797"/>
      <w:bookmarkStart w:id="356" w:name="_Toc21754"/>
      <w:r>
        <w:rPr>
          <w:rFonts w:hint="eastAsia" w:cs="宋体"/>
          <w:b/>
          <w:kern w:val="2"/>
          <w:sz w:val="32"/>
          <w:szCs w:val="32"/>
        </w:rPr>
        <w:t>3.数据库要求</w:t>
      </w:r>
      <w:bookmarkEnd w:id="350"/>
      <w:bookmarkEnd w:id="351"/>
      <w:bookmarkEnd w:id="352"/>
      <w:bookmarkEnd w:id="353"/>
      <w:bookmarkEnd w:id="354"/>
      <w:bookmarkEnd w:id="355"/>
      <w:bookmarkEnd w:id="356"/>
    </w:p>
    <w:p w14:paraId="6CFFC3F0">
      <w:pPr>
        <w:numPr>
          <w:ilvl w:val="0"/>
          <w:numId w:val="17"/>
        </w:numPr>
        <w:spacing w:line="360" w:lineRule="auto"/>
        <w:ind w:firstLine="480"/>
        <w:rPr>
          <w:rFonts w:cs="宋体"/>
          <w:bCs/>
          <w:kern w:val="2"/>
          <w:szCs w:val="24"/>
        </w:rPr>
      </w:pPr>
      <w:r>
        <w:rPr>
          <w:rFonts w:hint="eastAsia" w:cs="宋体"/>
          <w:bCs/>
          <w:kern w:val="2"/>
          <w:szCs w:val="24"/>
        </w:rPr>
        <w:t>数据库类型:采用成熟的、高性能、高可靠性的关系型数据库，如Oracle、等。</w:t>
      </w:r>
    </w:p>
    <w:p w14:paraId="2B0CC22E">
      <w:pPr>
        <w:numPr>
          <w:ilvl w:val="0"/>
          <w:numId w:val="17"/>
        </w:numPr>
        <w:spacing w:line="360" w:lineRule="auto"/>
        <w:ind w:firstLine="480"/>
        <w:rPr>
          <w:rFonts w:cs="宋体"/>
          <w:bCs/>
          <w:kern w:val="2"/>
          <w:szCs w:val="24"/>
        </w:rPr>
      </w:pPr>
      <w:r>
        <w:rPr>
          <w:rFonts w:hint="eastAsia" w:cs="宋体"/>
          <w:bCs/>
          <w:kern w:val="2"/>
          <w:szCs w:val="24"/>
        </w:rPr>
        <w:t>数据备份和恢复:定期进行数据备份，并制定数据恢复方案，确保数据安全。</w:t>
      </w:r>
    </w:p>
    <w:p w14:paraId="23821915">
      <w:pPr>
        <w:numPr>
          <w:ilvl w:val="0"/>
          <w:numId w:val="17"/>
        </w:numPr>
        <w:spacing w:line="360" w:lineRule="auto"/>
        <w:ind w:firstLine="480"/>
        <w:rPr>
          <w:rFonts w:cs="宋体"/>
          <w:bCs/>
          <w:kern w:val="2"/>
          <w:szCs w:val="24"/>
        </w:rPr>
      </w:pPr>
      <w:r>
        <w:rPr>
          <w:rFonts w:hint="eastAsia" w:cs="宋体"/>
          <w:bCs/>
          <w:kern w:val="2"/>
          <w:szCs w:val="24"/>
        </w:rPr>
        <w:t>性能优化:对数据库进行性能优化，提高数据查询和处理速度。</w:t>
      </w:r>
    </w:p>
    <w:p w14:paraId="51090136">
      <w:pPr>
        <w:numPr>
          <w:ilvl w:val="0"/>
          <w:numId w:val="17"/>
        </w:numPr>
        <w:spacing w:line="360" w:lineRule="auto"/>
        <w:ind w:firstLine="480"/>
        <w:rPr>
          <w:rFonts w:cs="宋体"/>
          <w:bCs/>
          <w:kern w:val="2"/>
          <w:sz w:val="28"/>
          <w:szCs w:val="28"/>
        </w:rPr>
      </w:pPr>
      <w:r>
        <w:rPr>
          <w:rFonts w:hint="eastAsia" w:cs="宋体"/>
          <w:bCs/>
          <w:kern w:val="2"/>
          <w:szCs w:val="24"/>
        </w:rPr>
        <w:t>数据安全:对数据库进行安全配置，防止非法访问和数据泄露。</w:t>
      </w:r>
    </w:p>
    <w:p w14:paraId="61805280">
      <w:pPr>
        <w:ind w:firstLine="643"/>
        <w:outlineLvl w:val="2"/>
        <w:rPr>
          <w:rFonts w:cs="宋体"/>
          <w:b/>
          <w:kern w:val="2"/>
          <w:sz w:val="32"/>
          <w:szCs w:val="32"/>
        </w:rPr>
      </w:pPr>
      <w:bookmarkStart w:id="357" w:name="_Toc19388"/>
      <w:bookmarkStart w:id="358" w:name="_Toc30705"/>
      <w:bookmarkStart w:id="359" w:name="_Toc30034"/>
      <w:bookmarkStart w:id="360" w:name="_Toc27407"/>
      <w:bookmarkStart w:id="361" w:name="_Toc27785"/>
      <w:bookmarkStart w:id="362" w:name="_Toc492"/>
      <w:bookmarkStart w:id="363" w:name="_Toc28657"/>
      <w:r>
        <w:rPr>
          <w:rFonts w:hint="eastAsia" w:cs="宋体"/>
          <w:b/>
          <w:kern w:val="2"/>
          <w:sz w:val="32"/>
          <w:szCs w:val="32"/>
        </w:rPr>
        <w:t>4.系统性能</w:t>
      </w:r>
      <w:bookmarkEnd w:id="357"/>
      <w:bookmarkEnd w:id="358"/>
      <w:bookmarkEnd w:id="359"/>
      <w:bookmarkEnd w:id="360"/>
      <w:bookmarkEnd w:id="361"/>
      <w:bookmarkEnd w:id="362"/>
      <w:bookmarkEnd w:id="363"/>
    </w:p>
    <w:p w14:paraId="12E9E932">
      <w:pPr>
        <w:numPr>
          <w:ilvl w:val="0"/>
          <w:numId w:val="18"/>
        </w:numPr>
        <w:spacing w:line="360" w:lineRule="auto"/>
        <w:ind w:firstLine="480"/>
        <w:rPr>
          <w:rFonts w:cs="宋体"/>
          <w:bCs/>
          <w:kern w:val="2"/>
          <w:szCs w:val="24"/>
        </w:rPr>
      </w:pPr>
      <w:r>
        <w:rPr>
          <w:rFonts w:cs="宋体"/>
          <w:bCs/>
          <w:kern w:val="2"/>
          <w:szCs w:val="24"/>
        </w:rPr>
        <w:t>高并发处理能力:</w:t>
      </w:r>
      <w:r>
        <w:rPr>
          <w:rFonts w:hint="eastAsia" w:cs="宋体"/>
          <w:bCs/>
          <w:kern w:val="2"/>
          <w:szCs w:val="24"/>
        </w:rPr>
        <w:t>系统</w:t>
      </w:r>
      <w:r>
        <w:rPr>
          <w:rFonts w:cs="宋体"/>
          <w:bCs/>
          <w:kern w:val="2"/>
          <w:szCs w:val="24"/>
        </w:rPr>
        <w:t>应能够承受高并发访问，并确保系统稳定运行。</w:t>
      </w:r>
    </w:p>
    <w:p w14:paraId="32A3DDD6">
      <w:pPr>
        <w:numPr>
          <w:ilvl w:val="0"/>
          <w:numId w:val="18"/>
        </w:numPr>
        <w:spacing w:line="360" w:lineRule="auto"/>
        <w:ind w:firstLine="480"/>
        <w:rPr>
          <w:rFonts w:cs="宋体"/>
          <w:bCs/>
          <w:kern w:val="2"/>
          <w:szCs w:val="24"/>
        </w:rPr>
      </w:pPr>
      <w:r>
        <w:rPr>
          <w:rFonts w:cs="宋体"/>
          <w:bCs/>
          <w:kern w:val="2"/>
          <w:szCs w:val="24"/>
        </w:rPr>
        <w:t>快速响应速度:</w:t>
      </w:r>
      <w:r>
        <w:rPr>
          <w:rFonts w:hint="eastAsia" w:cs="宋体"/>
          <w:bCs/>
          <w:kern w:val="2"/>
          <w:szCs w:val="24"/>
        </w:rPr>
        <w:t>系统</w:t>
      </w:r>
      <w:r>
        <w:rPr>
          <w:rFonts w:cs="宋体"/>
          <w:bCs/>
          <w:kern w:val="2"/>
          <w:szCs w:val="24"/>
        </w:rPr>
        <w:t>应能够快速响应用户请求，并提供流畅的用户体验。</w:t>
      </w:r>
    </w:p>
    <w:p w14:paraId="538216D5">
      <w:pPr>
        <w:numPr>
          <w:ilvl w:val="0"/>
          <w:numId w:val="18"/>
        </w:numPr>
        <w:spacing w:line="360" w:lineRule="auto"/>
        <w:ind w:firstLine="480"/>
        <w:rPr>
          <w:rFonts w:cs="宋体"/>
          <w:bCs/>
          <w:kern w:val="2"/>
          <w:szCs w:val="24"/>
        </w:rPr>
      </w:pPr>
      <w:r>
        <w:rPr>
          <w:rFonts w:cs="宋体"/>
          <w:bCs/>
          <w:kern w:val="2"/>
          <w:szCs w:val="24"/>
        </w:rPr>
        <w:t>数据处理能力:</w:t>
      </w:r>
      <w:r>
        <w:rPr>
          <w:rFonts w:hint="eastAsia" w:cs="宋体"/>
          <w:bCs/>
          <w:kern w:val="2"/>
          <w:szCs w:val="24"/>
        </w:rPr>
        <w:t>系统</w:t>
      </w:r>
      <w:r>
        <w:rPr>
          <w:rFonts w:cs="宋体"/>
          <w:bCs/>
          <w:kern w:val="2"/>
          <w:szCs w:val="24"/>
        </w:rPr>
        <w:t>应能够高效处理大量数据，并满足数据分析和挖掘需求。</w:t>
      </w:r>
    </w:p>
    <w:p w14:paraId="40B2DD25">
      <w:pPr>
        <w:numPr>
          <w:ilvl w:val="0"/>
          <w:numId w:val="18"/>
        </w:numPr>
        <w:spacing w:line="360" w:lineRule="auto"/>
        <w:ind w:firstLine="480"/>
        <w:rPr>
          <w:rFonts w:cs="宋体"/>
          <w:bCs/>
          <w:kern w:val="2"/>
          <w:sz w:val="28"/>
          <w:szCs w:val="28"/>
        </w:rPr>
      </w:pPr>
      <w:r>
        <w:rPr>
          <w:rFonts w:cs="宋体"/>
          <w:bCs/>
          <w:kern w:val="2"/>
          <w:szCs w:val="24"/>
        </w:rPr>
        <w:t>可扩展性:</w:t>
      </w:r>
      <w:r>
        <w:rPr>
          <w:rFonts w:hint="eastAsia" w:cs="宋体"/>
          <w:bCs/>
          <w:kern w:val="2"/>
          <w:szCs w:val="24"/>
        </w:rPr>
        <w:t>系统</w:t>
      </w:r>
      <w:r>
        <w:rPr>
          <w:rFonts w:cs="宋体"/>
          <w:bCs/>
          <w:kern w:val="2"/>
          <w:szCs w:val="24"/>
        </w:rPr>
        <w:t>应具有良好的可扩展性，能够随着业务发展进行扩展，以满足未来需求。</w:t>
      </w:r>
    </w:p>
    <w:p w14:paraId="28DAA045">
      <w:pPr>
        <w:numPr>
          <w:ilvl w:val="0"/>
          <w:numId w:val="18"/>
        </w:numPr>
        <w:spacing w:line="360" w:lineRule="auto"/>
        <w:ind w:firstLine="480"/>
        <w:rPr>
          <w:rFonts w:cs="宋体"/>
          <w:bCs/>
          <w:kern w:val="2"/>
          <w:szCs w:val="24"/>
        </w:rPr>
      </w:pPr>
      <w:r>
        <w:rPr>
          <w:rFonts w:hint="eastAsia" w:cs="宋体"/>
          <w:bCs/>
          <w:kern w:val="2"/>
          <w:szCs w:val="24"/>
        </w:rPr>
        <w:t>原始数据存储要求大于10年，支持容灾备份。</w:t>
      </w:r>
    </w:p>
    <w:p w14:paraId="66434A03">
      <w:pPr>
        <w:ind w:firstLine="643"/>
        <w:outlineLvl w:val="2"/>
        <w:rPr>
          <w:rFonts w:cs="宋体"/>
          <w:b/>
          <w:kern w:val="2"/>
          <w:sz w:val="32"/>
          <w:szCs w:val="32"/>
        </w:rPr>
      </w:pPr>
      <w:bookmarkStart w:id="364" w:name="_Toc27883"/>
      <w:bookmarkStart w:id="365" w:name="_Toc8962"/>
      <w:bookmarkStart w:id="366" w:name="_Toc18350"/>
      <w:bookmarkStart w:id="367" w:name="_Toc27628"/>
      <w:bookmarkStart w:id="368" w:name="_Toc230"/>
      <w:bookmarkStart w:id="369" w:name="_Toc31738"/>
      <w:bookmarkStart w:id="370" w:name="_Toc31762"/>
      <w:r>
        <w:rPr>
          <w:rFonts w:hint="eastAsia" w:cs="宋体"/>
          <w:b/>
          <w:kern w:val="2"/>
          <w:sz w:val="32"/>
          <w:szCs w:val="32"/>
        </w:rPr>
        <w:t>5.系统技术指标</w:t>
      </w:r>
      <w:bookmarkEnd w:id="364"/>
      <w:bookmarkEnd w:id="365"/>
      <w:bookmarkEnd w:id="366"/>
      <w:bookmarkEnd w:id="367"/>
      <w:bookmarkEnd w:id="368"/>
      <w:bookmarkEnd w:id="369"/>
      <w:bookmarkEnd w:id="370"/>
    </w:p>
    <w:p w14:paraId="3E7B31DA">
      <w:pPr>
        <w:numPr>
          <w:ilvl w:val="0"/>
          <w:numId w:val="19"/>
        </w:numPr>
        <w:spacing w:line="360" w:lineRule="auto"/>
        <w:ind w:firstLine="480"/>
        <w:rPr>
          <w:rFonts w:cs="宋体"/>
          <w:bCs/>
          <w:kern w:val="2"/>
          <w:szCs w:val="24"/>
        </w:rPr>
      </w:pPr>
      <w:r>
        <w:rPr>
          <w:rFonts w:hint="eastAsia" w:cs="宋体"/>
          <w:bCs/>
          <w:kern w:val="2"/>
          <w:szCs w:val="24"/>
        </w:rPr>
        <w:t>系统</w:t>
      </w:r>
      <w:r>
        <w:rPr>
          <w:rFonts w:cs="宋体"/>
          <w:bCs/>
          <w:kern w:val="2"/>
          <w:szCs w:val="24"/>
        </w:rPr>
        <w:t>并发用户数:</w:t>
      </w:r>
      <w:r>
        <w:rPr>
          <w:rFonts w:hint="eastAsia" w:cs="宋体"/>
          <w:bCs/>
          <w:kern w:val="2"/>
          <w:szCs w:val="24"/>
        </w:rPr>
        <w:t>不限用户并发数</w:t>
      </w:r>
      <w:r>
        <w:rPr>
          <w:rFonts w:cs="宋体"/>
          <w:bCs/>
          <w:kern w:val="2"/>
          <w:szCs w:val="24"/>
        </w:rPr>
        <w:t>，并确保系统性能稳定。</w:t>
      </w:r>
    </w:p>
    <w:p w14:paraId="17344D18">
      <w:pPr>
        <w:numPr>
          <w:ilvl w:val="0"/>
          <w:numId w:val="19"/>
        </w:numPr>
        <w:spacing w:line="360" w:lineRule="auto"/>
        <w:ind w:firstLine="480"/>
        <w:rPr>
          <w:rFonts w:cs="宋体"/>
          <w:bCs/>
          <w:kern w:val="2"/>
          <w:szCs w:val="24"/>
        </w:rPr>
      </w:pPr>
      <w:r>
        <w:rPr>
          <w:rFonts w:cs="宋体"/>
          <w:bCs/>
          <w:kern w:val="2"/>
          <w:szCs w:val="24"/>
        </w:rPr>
        <w:t>响应时间:</w:t>
      </w:r>
      <w:r>
        <w:rPr>
          <w:rFonts w:hint="eastAsia" w:cs="宋体"/>
          <w:bCs/>
          <w:kern w:val="2"/>
          <w:szCs w:val="24"/>
        </w:rPr>
        <w:t>系统</w:t>
      </w:r>
      <w:r>
        <w:rPr>
          <w:rFonts w:cs="宋体"/>
          <w:bCs/>
          <w:kern w:val="2"/>
          <w:szCs w:val="24"/>
        </w:rPr>
        <w:t>应能够在</w:t>
      </w:r>
      <w:r>
        <w:rPr>
          <w:rFonts w:hint="eastAsia" w:cs="宋体"/>
          <w:bCs/>
          <w:kern w:val="2"/>
          <w:szCs w:val="24"/>
        </w:rPr>
        <w:t>3秒内</w:t>
      </w:r>
      <w:r>
        <w:rPr>
          <w:rFonts w:cs="宋体"/>
          <w:bCs/>
          <w:kern w:val="2"/>
          <w:szCs w:val="24"/>
        </w:rPr>
        <w:t>响应用户请求，保证用户体验。</w:t>
      </w:r>
    </w:p>
    <w:p w14:paraId="4C7E3D7A">
      <w:pPr>
        <w:numPr>
          <w:ilvl w:val="0"/>
          <w:numId w:val="19"/>
        </w:numPr>
        <w:spacing w:line="360" w:lineRule="auto"/>
        <w:ind w:firstLine="480"/>
        <w:rPr>
          <w:rFonts w:cs="宋体"/>
          <w:bCs/>
          <w:kern w:val="2"/>
          <w:sz w:val="28"/>
          <w:szCs w:val="28"/>
        </w:rPr>
      </w:pPr>
      <w:r>
        <w:rPr>
          <w:rFonts w:cs="宋体"/>
          <w:bCs/>
          <w:kern w:val="2"/>
          <w:szCs w:val="24"/>
        </w:rPr>
        <w:t>系统稳定性:</w:t>
      </w:r>
      <w:r>
        <w:rPr>
          <w:rFonts w:hint="eastAsia" w:cs="宋体"/>
          <w:bCs/>
          <w:kern w:val="2"/>
          <w:szCs w:val="24"/>
        </w:rPr>
        <w:t>系统</w:t>
      </w:r>
      <w:r>
        <w:rPr>
          <w:rFonts w:cs="宋体"/>
          <w:bCs/>
          <w:kern w:val="2"/>
          <w:szCs w:val="24"/>
        </w:rPr>
        <w:t>应具有较高的稳定性，能够长时间稳定运行，避免出现故障。</w:t>
      </w:r>
    </w:p>
    <w:p w14:paraId="22094E29">
      <w:pPr>
        <w:ind w:firstLine="643"/>
        <w:outlineLvl w:val="2"/>
        <w:rPr>
          <w:rFonts w:cs="宋体"/>
          <w:b/>
          <w:kern w:val="2"/>
          <w:sz w:val="32"/>
          <w:szCs w:val="32"/>
        </w:rPr>
      </w:pPr>
      <w:bookmarkStart w:id="371" w:name="_Toc23050"/>
      <w:bookmarkStart w:id="372" w:name="_Toc16569"/>
      <w:bookmarkStart w:id="373" w:name="_Toc17781"/>
      <w:bookmarkStart w:id="374" w:name="_Toc17738"/>
      <w:bookmarkStart w:id="375" w:name="_Toc29684"/>
      <w:bookmarkStart w:id="376" w:name="_Toc25932"/>
      <w:bookmarkStart w:id="377" w:name="_Toc26052"/>
      <w:r>
        <w:rPr>
          <w:rFonts w:hint="eastAsia" w:cs="宋体"/>
          <w:b/>
          <w:kern w:val="2"/>
          <w:sz w:val="32"/>
          <w:szCs w:val="32"/>
        </w:rPr>
        <w:t>6.</w:t>
      </w:r>
      <w:bookmarkStart w:id="378" w:name="_Toc21092"/>
      <w:r>
        <w:rPr>
          <w:rFonts w:hint="eastAsia" w:cs="宋体"/>
          <w:b/>
          <w:kern w:val="2"/>
          <w:sz w:val="32"/>
          <w:szCs w:val="32"/>
        </w:rPr>
        <w:t>移动端应用需求</w:t>
      </w:r>
      <w:bookmarkEnd w:id="371"/>
      <w:bookmarkEnd w:id="372"/>
      <w:bookmarkEnd w:id="373"/>
      <w:bookmarkEnd w:id="374"/>
      <w:bookmarkEnd w:id="375"/>
      <w:bookmarkEnd w:id="376"/>
      <w:bookmarkEnd w:id="377"/>
      <w:bookmarkEnd w:id="378"/>
    </w:p>
    <w:p w14:paraId="5A083064">
      <w:pPr>
        <w:spacing w:line="360" w:lineRule="auto"/>
        <w:ind w:firstLine="480"/>
        <w:rPr>
          <w:rFonts w:cs="宋体"/>
          <w:szCs w:val="24"/>
        </w:rPr>
      </w:pPr>
      <w:r>
        <w:rPr>
          <w:rFonts w:hint="eastAsia" w:cs="宋体"/>
          <w:szCs w:val="24"/>
        </w:rPr>
        <w:t>1)需支持手持终端的移动应用；</w:t>
      </w:r>
    </w:p>
    <w:p w14:paraId="073560B2">
      <w:pPr>
        <w:spacing w:line="360" w:lineRule="auto"/>
        <w:ind w:firstLine="480"/>
        <w:rPr>
          <w:rFonts w:cs="宋体"/>
          <w:szCs w:val="24"/>
        </w:rPr>
      </w:pPr>
      <w:r>
        <w:rPr>
          <w:rFonts w:hint="eastAsia" w:cs="宋体"/>
          <w:szCs w:val="24"/>
        </w:rPr>
        <w:t>2)工单任务支持移动终端处理；</w:t>
      </w:r>
    </w:p>
    <w:p w14:paraId="25CB4383">
      <w:pPr>
        <w:spacing w:line="360" w:lineRule="auto"/>
        <w:ind w:firstLine="480"/>
        <w:rPr>
          <w:rFonts w:cs="宋体"/>
          <w:szCs w:val="24"/>
        </w:rPr>
      </w:pPr>
      <w:r>
        <w:rPr>
          <w:rFonts w:hint="eastAsia" w:cs="宋体"/>
          <w:szCs w:val="24"/>
        </w:rPr>
        <w:t>3)巡检任务支持移动终端处理；</w:t>
      </w:r>
    </w:p>
    <w:p w14:paraId="01E9D0EF">
      <w:pPr>
        <w:spacing w:line="360" w:lineRule="auto"/>
        <w:ind w:firstLine="480"/>
        <w:rPr>
          <w:rFonts w:cs="宋体"/>
          <w:szCs w:val="24"/>
        </w:rPr>
      </w:pPr>
      <w:r>
        <w:rPr>
          <w:rFonts w:hint="eastAsia" w:cs="宋体"/>
          <w:szCs w:val="24"/>
        </w:rPr>
        <w:t>4)备品备件支持移动端扫码操作；</w:t>
      </w:r>
    </w:p>
    <w:p w14:paraId="02011A39">
      <w:pPr>
        <w:spacing w:line="360" w:lineRule="auto"/>
        <w:ind w:firstLine="480"/>
        <w:rPr>
          <w:rFonts w:cs="宋体"/>
          <w:szCs w:val="24"/>
        </w:rPr>
      </w:pPr>
      <w:r>
        <w:rPr>
          <w:rFonts w:hint="eastAsia" w:cs="宋体"/>
          <w:szCs w:val="24"/>
        </w:rPr>
        <w:t>5)消息及报警同步推送和接收支持移动端查看；</w:t>
      </w:r>
    </w:p>
    <w:p w14:paraId="7F57B56D">
      <w:pPr>
        <w:spacing w:line="360" w:lineRule="auto"/>
        <w:ind w:firstLine="480"/>
        <w:rPr>
          <w:rFonts w:cs="宋体"/>
          <w:szCs w:val="24"/>
        </w:rPr>
      </w:pPr>
      <w:r>
        <w:rPr>
          <w:rFonts w:hint="eastAsia" w:cs="宋体"/>
          <w:szCs w:val="24"/>
        </w:rPr>
        <w:t>6)数据分析和统计报表支持移动端查看。</w:t>
      </w:r>
    </w:p>
    <w:p w14:paraId="62D81AB1">
      <w:pPr>
        <w:ind w:firstLine="643"/>
        <w:outlineLvl w:val="2"/>
        <w:rPr>
          <w:rFonts w:cs="宋体"/>
          <w:b/>
          <w:kern w:val="2"/>
          <w:sz w:val="32"/>
          <w:szCs w:val="32"/>
        </w:rPr>
      </w:pPr>
      <w:bookmarkStart w:id="379" w:name="_Toc8476"/>
      <w:r>
        <w:rPr>
          <w:rFonts w:hint="eastAsia" w:cs="宋体"/>
          <w:b/>
          <w:kern w:val="2"/>
          <w:sz w:val="32"/>
          <w:szCs w:val="32"/>
        </w:rPr>
        <w:t>7.系统集成要求</w:t>
      </w:r>
      <w:bookmarkEnd w:id="379"/>
    </w:p>
    <w:p w14:paraId="1784D37E">
      <w:pPr>
        <w:spacing w:line="360" w:lineRule="auto"/>
        <w:ind w:firstLine="480"/>
        <w:rPr>
          <w:rFonts w:cs="宋体"/>
          <w:szCs w:val="24"/>
        </w:rPr>
      </w:pPr>
      <w:r>
        <w:rPr>
          <w:rFonts w:hint="eastAsia" w:cs="宋体"/>
          <w:szCs w:val="24"/>
        </w:rPr>
        <w:t>（1）集成方式说明</w:t>
      </w:r>
    </w:p>
    <w:p w14:paraId="5DB23E6C">
      <w:pPr>
        <w:spacing w:line="360" w:lineRule="auto"/>
        <w:ind w:firstLine="480"/>
        <w:rPr>
          <w:rFonts w:cs="宋体"/>
          <w:szCs w:val="24"/>
        </w:rPr>
      </w:pPr>
      <w:r>
        <w:rPr>
          <w:rFonts w:hint="eastAsia" w:cs="宋体"/>
          <w:szCs w:val="24"/>
        </w:rPr>
        <w:t>1）系统集成与接口：该系统</w:t>
      </w:r>
      <w:r>
        <w:rPr>
          <w:rFonts w:hint="eastAsia" w:cs="宋体"/>
          <w:bCs/>
          <w:kern w:val="2"/>
          <w:szCs w:val="24"/>
        </w:rPr>
        <w:t>在接口管理方面需具有扩展性和开放性，提供基于业界标准的API接口，能够方便地与其他厂家的同类或相关系统进行系统互连集成；可以方便与其他系统进行互连，便于数据集成，并具有专业的数据集成平台产品</w:t>
      </w:r>
      <w:r>
        <w:rPr>
          <w:rFonts w:hint="eastAsia" w:cs="宋体"/>
          <w:szCs w:val="24"/>
        </w:rPr>
        <w:t>。</w:t>
      </w:r>
    </w:p>
    <w:p w14:paraId="1A11912D">
      <w:pPr>
        <w:spacing w:line="360" w:lineRule="auto"/>
        <w:ind w:firstLine="480"/>
        <w:rPr>
          <w:rFonts w:cs="宋体"/>
          <w:szCs w:val="24"/>
        </w:rPr>
      </w:pPr>
      <w:r>
        <w:rPr>
          <w:rFonts w:hint="eastAsia" w:cs="宋体"/>
          <w:szCs w:val="24"/>
        </w:rPr>
        <w:t>2）设备智能管理系统与第三方系统集成时，由业主负责协调第三方系统供应商与本项目中标方的工作对接；投标方负责其自身系统的相关开发工作并提供需要第三方配合的数据需求、接口开发等需要第三方配合开发的需求文档；需要第三方系统供应商作相应开发工作及付费时，投标报价中包括全部接口费用（含第三方接口开发费用）。</w:t>
      </w:r>
    </w:p>
    <w:p w14:paraId="2EFB19F4">
      <w:pPr>
        <w:spacing w:line="360" w:lineRule="auto"/>
        <w:ind w:firstLine="480"/>
        <w:rPr>
          <w:rFonts w:cs="宋体"/>
          <w:szCs w:val="24"/>
        </w:rPr>
      </w:pPr>
      <w:r>
        <w:rPr>
          <w:rFonts w:hint="eastAsia" w:cs="宋体"/>
          <w:szCs w:val="24"/>
        </w:rPr>
        <w:t>3）系统接口的设计和实现须符合招标方规定的通信协议要求（具体要求在详细设计时规定），能够灵活配置，采用适宜的技术确保可靠、高效运行。</w:t>
      </w:r>
    </w:p>
    <w:p w14:paraId="721F7EBA">
      <w:pPr>
        <w:spacing w:line="360" w:lineRule="auto"/>
        <w:ind w:firstLine="480"/>
        <w:rPr>
          <w:rFonts w:cs="宋体"/>
          <w:szCs w:val="24"/>
        </w:rPr>
      </w:pPr>
      <w:r>
        <w:rPr>
          <w:rFonts w:hint="eastAsia" w:cs="宋体"/>
          <w:szCs w:val="24"/>
        </w:rPr>
        <w:t>4）系统要求有成型、成熟、开放的接口（预留）规范，当接口事务发生后能够自动完成验证，确保后期接口事务处理的技术稳定性。</w:t>
      </w:r>
    </w:p>
    <w:p w14:paraId="3D4DA4A6">
      <w:pPr>
        <w:spacing w:line="360" w:lineRule="auto"/>
        <w:ind w:firstLine="480"/>
        <w:rPr>
          <w:rFonts w:cs="宋体"/>
          <w:szCs w:val="24"/>
        </w:rPr>
      </w:pPr>
      <w:r>
        <w:rPr>
          <w:rFonts w:hint="eastAsia" w:cs="宋体"/>
          <w:szCs w:val="24"/>
        </w:rPr>
        <w:t>5）设备管理系统保持开放性，为未来各类系统集成预留接口，实现流程集成、数据共享、数据同步和数据传输，避免信息孤岛。</w:t>
      </w:r>
    </w:p>
    <w:p w14:paraId="66B2508A">
      <w:pPr>
        <w:spacing w:line="360" w:lineRule="auto"/>
        <w:ind w:firstLine="480"/>
        <w:rPr>
          <w:rFonts w:cs="宋体"/>
          <w:szCs w:val="24"/>
        </w:rPr>
      </w:pPr>
      <w:bookmarkStart w:id="380" w:name="_Toc20565"/>
      <w:r>
        <w:rPr>
          <w:rFonts w:hint="eastAsia" w:cs="宋体"/>
          <w:szCs w:val="24"/>
        </w:rPr>
        <w:t>（2）集成系统</w:t>
      </w:r>
      <w:bookmarkEnd w:id="380"/>
    </w:p>
    <w:p w14:paraId="61C8AEF9">
      <w:pPr>
        <w:spacing w:line="360" w:lineRule="auto"/>
        <w:ind w:firstLine="480"/>
        <w:rPr>
          <w:rFonts w:cs="宋体"/>
          <w:szCs w:val="24"/>
        </w:rPr>
      </w:pPr>
      <w:r>
        <w:rPr>
          <w:rFonts w:hint="eastAsia" w:cs="宋体"/>
          <w:szCs w:val="24"/>
        </w:rPr>
        <w:t>与集团BIP系统集成：介绍设备管理系统与集团BIP系统的集成的主要方式和内容。</w:t>
      </w:r>
    </w:p>
    <w:p w14:paraId="6AED756C">
      <w:pPr>
        <w:spacing w:line="360" w:lineRule="auto"/>
        <w:ind w:firstLine="480"/>
        <w:rPr>
          <w:rFonts w:cs="宋体"/>
          <w:szCs w:val="24"/>
        </w:rPr>
      </w:pPr>
      <w:r>
        <w:rPr>
          <w:rFonts w:hint="eastAsia" w:cs="宋体"/>
          <w:szCs w:val="24"/>
        </w:rPr>
        <w:t>与工智道开票系统集成：介绍设备管理系统与工智道开票系统集成的主要方式和内容。</w:t>
      </w:r>
    </w:p>
    <w:p w14:paraId="32BEB0D0">
      <w:pPr>
        <w:ind w:firstLine="643"/>
        <w:outlineLvl w:val="2"/>
        <w:rPr>
          <w:rFonts w:cs="宋体"/>
          <w:b/>
          <w:kern w:val="2"/>
          <w:sz w:val="32"/>
          <w:szCs w:val="32"/>
        </w:rPr>
      </w:pPr>
      <w:bookmarkStart w:id="381" w:name="_Toc30563"/>
      <w:r>
        <w:rPr>
          <w:rFonts w:hint="eastAsia" w:cs="宋体"/>
          <w:b/>
          <w:kern w:val="2"/>
          <w:sz w:val="32"/>
          <w:szCs w:val="32"/>
        </w:rPr>
        <w:t>8.软件系统要求</w:t>
      </w:r>
      <w:bookmarkEnd w:id="381"/>
    </w:p>
    <w:p w14:paraId="5891E9B6">
      <w:pPr>
        <w:spacing w:line="360" w:lineRule="auto"/>
        <w:ind w:firstLine="480"/>
        <w:rPr>
          <w:rFonts w:cs="宋体"/>
          <w:szCs w:val="24"/>
        </w:rPr>
      </w:pPr>
      <w:r>
        <w:rPr>
          <w:rFonts w:hint="eastAsia" w:cs="宋体"/>
          <w:szCs w:val="24"/>
        </w:rPr>
        <w:t>（1）软件系统应具有国内自主知识产权，有很高的成熟度和先进性。</w:t>
      </w:r>
    </w:p>
    <w:p w14:paraId="70BFD643">
      <w:pPr>
        <w:spacing w:line="360" w:lineRule="auto"/>
        <w:ind w:firstLine="480"/>
        <w:rPr>
          <w:rFonts w:cs="宋体"/>
          <w:szCs w:val="24"/>
        </w:rPr>
      </w:pPr>
      <w:r>
        <w:rPr>
          <w:rFonts w:hint="eastAsia" w:cs="宋体"/>
          <w:szCs w:val="24"/>
        </w:rPr>
        <w:t>（2）软件平台必须支持支持集团化/多组织场所运营的应用，对各个分厂的数据显示、流程处理、权限等可进行各自的配置管理；</w:t>
      </w:r>
    </w:p>
    <w:p w14:paraId="0A8BBECE">
      <w:pPr>
        <w:spacing w:line="360" w:lineRule="auto"/>
        <w:ind w:firstLine="480"/>
        <w:rPr>
          <w:rFonts w:cs="宋体"/>
          <w:szCs w:val="24"/>
        </w:rPr>
      </w:pPr>
      <w:r>
        <w:rPr>
          <w:rFonts w:hint="eastAsia" w:cs="宋体"/>
          <w:szCs w:val="24"/>
        </w:rPr>
        <w:t>（3）软件提供强大、灵活的流程处理、界面、权限系统配置工具；支持图形化方式配置；</w:t>
      </w:r>
    </w:p>
    <w:p w14:paraId="2E239F0E">
      <w:pPr>
        <w:spacing w:line="360" w:lineRule="auto"/>
        <w:ind w:firstLine="480"/>
        <w:rPr>
          <w:rFonts w:cs="宋体"/>
          <w:szCs w:val="24"/>
        </w:rPr>
      </w:pPr>
      <w:r>
        <w:rPr>
          <w:rFonts w:hint="eastAsia" w:cs="宋体"/>
          <w:szCs w:val="24"/>
        </w:rPr>
        <w:t>（4）系统的扩展或变更、功能模块增加或减少、集成第三方系统等不能影响系统的整体框架和系统稳定性，不能影响系统的正常升级。</w:t>
      </w:r>
    </w:p>
    <w:p w14:paraId="2799BB19">
      <w:pPr>
        <w:ind w:firstLine="643"/>
        <w:outlineLvl w:val="2"/>
        <w:rPr>
          <w:rFonts w:cs="宋体"/>
          <w:b/>
          <w:kern w:val="2"/>
          <w:sz w:val="32"/>
          <w:szCs w:val="32"/>
        </w:rPr>
      </w:pPr>
      <w:bookmarkStart w:id="382" w:name="_Toc27496"/>
      <w:bookmarkStart w:id="383" w:name="_Toc7842"/>
      <w:bookmarkStart w:id="384" w:name="_Toc19990"/>
      <w:bookmarkStart w:id="385" w:name="_Toc1270"/>
      <w:bookmarkStart w:id="386" w:name="_Toc28201"/>
      <w:bookmarkStart w:id="387" w:name="_Toc18142"/>
      <w:r>
        <w:rPr>
          <w:rFonts w:hint="eastAsia" w:cs="宋体"/>
          <w:b/>
          <w:kern w:val="2"/>
          <w:sz w:val="32"/>
          <w:szCs w:val="32"/>
        </w:rPr>
        <w:t>9.</w:t>
      </w:r>
      <w:bookmarkEnd w:id="382"/>
      <w:bookmarkEnd w:id="383"/>
      <w:bookmarkEnd w:id="384"/>
      <w:bookmarkEnd w:id="385"/>
      <w:bookmarkEnd w:id="386"/>
      <w:r>
        <w:rPr>
          <w:rFonts w:hint="eastAsia" w:cs="宋体"/>
          <w:b/>
          <w:kern w:val="2"/>
          <w:sz w:val="32"/>
          <w:szCs w:val="32"/>
        </w:rPr>
        <w:t>验收标准</w:t>
      </w:r>
      <w:bookmarkEnd w:id="387"/>
    </w:p>
    <w:p w14:paraId="4FAB6DD8">
      <w:pPr>
        <w:spacing w:line="360" w:lineRule="auto"/>
        <w:ind w:firstLine="482"/>
        <w:outlineLvl w:val="3"/>
        <w:rPr>
          <w:b/>
        </w:rPr>
      </w:pPr>
      <w:bookmarkStart w:id="388" w:name="_Toc27761"/>
      <w:bookmarkStart w:id="389" w:name="_Toc21290"/>
      <w:r>
        <w:rPr>
          <w:rFonts w:hint="eastAsia"/>
          <w:b/>
        </w:rPr>
        <w:t>9.1验收依据</w:t>
      </w:r>
      <w:bookmarkEnd w:id="388"/>
      <w:bookmarkEnd w:id="389"/>
    </w:p>
    <w:p w14:paraId="7EA1E768">
      <w:pPr>
        <w:spacing w:line="360" w:lineRule="auto"/>
        <w:ind w:firstLine="480"/>
        <w:rPr>
          <w:rFonts w:cs="宋体"/>
          <w:szCs w:val="24"/>
        </w:rPr>
      </w:pPr>
      <w:r>
        <w:rPr>
          <w:rFonts w:hint="eastAsia" w:cs="宋体"/>
          <w:szCs w:val="24"/>
        </w:rPr>
        <w:t>本项目验收必须严格依照合同条款、国家及行业相关法律法规、设计图纸、技术规范以及双方商定的技术参数进行。</w:t>
      </w:r>
    </w:p>
    <w:p w14:paraId="24378F39">
      <w:pPr>
        <w:spacing w:line="360" w:lineRule="auto"/>
        <w:ind w:firstLine="482"/>
        <w:outlineLvl w:val="3"/>
        <w:rPr>
          <w:b/>
        </w:rPr>
      </w:pPr>
      <w:bookmarkStart w:id="390" w:name="_Toc10492"/>
      <w:bookmarkStart w:id="391" w:name="_Toc24411"/>
      <w:r>
        <w:rPr>
          <w:rFonts w:hint="eastAsia"/>
          <w:b/>
        </w:rPr>
        <w:t>9.2验收条件</w:t>
      </w:r>
      <w:bookmarkEnd w:id="390"/>
      <w:bookmarkEnd w:id="391"/>
    </w:p>
    <w:p w14:paraId="027E3CBA">
      <w:pPr>
        <w:spacing w:line="360" w:lineRule="auto"/>
        <w:ind w:firstLine="480"/>
        <w:rPr>
          <w:rFonts w:cs="宋体"/>
          <w:szCs w:val="24"/>
        </w:rPr>
      </w:pPr>
      <w:r>
        <w:rPr>
          <w:rFonts w:hint="eastAsia" w:cs="宋体"/>
          <w:szCs w:val="24"/>
        </w:rPr>
        <w:t>1.系统上线后，平台运行稳定、安全、可靠、高效，用户体验良好；</w:t>
      </w:r>
    </w:p>
    <w:p w14:paraId="3FEC55D5">
      <w:pPr>
        <w:spacing w:line="360" w:lineRule="auto"/>
        <w:ind w:firstLine="480"/>
        <w:rPr>
          <w:rFonts w:cs="宋体"/>
          <w:szCs w:val="24"/>
        </w:rPr>
      </w:pPr>
      <w:r>
        <w:rPr>
          <w:rFonts w:hint="eastAsia" w:cs="宋体"/>
          <w:szCs w:val="24"/>
        </w:rPr>
        <w:t>2.项目期间进行知识转移：主数据维护、后台参数配置、用户权限维护。</w:t>
      </w:r>
    </w:p>
    <w:p w14:paraId="68A590F0">
      <w:pPr>
        <w:spacing w:line="360" w:lineRule="auto"/>
        <w:ind w:firstLine="480"/>
        <w:rPr>
          <w:rFonts w:cs="宋体"/>
          <w:szCs w:val="24"/>
        </w:rPr>
      </w:pPr>
      <w:r>
        <w:rPr>
          <w:rFonts w:hint="eastAsia" w:cs="宋体"/>
          <w:szCs w:val="24"/>
        </w:rPr>
        <w:t>3.验收分为三个阶段：</w:t>
      </w:r>
    </w:p>
    <w:p w14:paraId="32B63FC0">
      <w:pPr>
        <w:spacing w:line="360" w:lineRule="auto"/>
        <w:ind w:firstLine="480"/>
        <w:rPr>
          <w:rFonts w:cs="宋体"/>
          <w:szCs w:val="24"/>
        </w:rPr>
      </w:pPr>
      <w:r>
        <w:rPr>
          <w:rFonts w:hint="eastAsia" w:cs="宋体"/>
          <w:szCs w:val="24"/>
        </w:rPr>
        <w:t>a.初验验收：完成软件系统实施及功能验证；</w:t>
      </w:r>
    </w:p>
    <w:p w14:paraId="14B86632">
      <w:pPr>
        <w:spacing w:line="360" w:lineRule="auto"/>
        <w:ind w:firstLine="480"/>
        <w:rPr>
          <w:rFonts w:cs="宋体"/>
          <w:szCs w:val="24"/>
        </w:rPr>
      </w:pPr>
      <w:r>
        <w:rPr>
          <w:rFonts w:hint="eastAsia" w:cs="宋体"/>
          <w:szCs w:val="24"/>
        </w:rPr>
        <w:t>b.中期验收：完成软件系统实施、测试并上线试运行</w:t>
      </w:r>
    </w:p>
    <w:p w14:paraId="01353D8C">
      <w:pPr>
        <w:spacing w:line="360" w:lineRule="auto"/>
        <w:ind w:firstLine="480"/>
        <w:rPr>
          <w:rFonts w:cs="宋体"/>
          <w:szCs w:val="24"/>
        </w:rPr>
      </w:pPr>
      <w:r>
        <w:rPr>
          <w:rFonts w:hint="eastAsia" w:cs="宋体"/>
          <w:szCs w:val="24"/>
        </w:rPr>
        <w:t>c.最终验收：根据功能清单完成所有功能开发并稳定试运行一个月；</w:t>
      </w:r>
    </w:p>
    <w:p w14:paraId="7286CBDE">
      <w:pPr>
        <w:spacing w:line="360" w:lineRule="auto"/>
        <w:ind w:firstLine="482"/>
        <w:outlineLvl w:val="3"/>
        <w:rPr>
          <w:b/>
        </w:rPr>
      </w:pPr>
      <w:bookmarkStart w:id="392" w:name="_Toc13973"/>
      <w:bookmarkStart w:id="393" w:name="_Toc1692"/>
      <w:r>
        <w:rPr>
          <w:rFonts w:hint="eastAsia"/>
          <w:b/>
        </w:rPr>
        <w:t>9.3验收方式</w:t>
      </w:r>
      <w:bookmarkEnd w:id="392"/>
      <w:bookmarkEnd w:id="393"/>
    </w:p>
    <w:p w14:paraId="384803B4">
      <w:pPr>
        <w:spacing w:line="360" w:lineRule="auto"/>
        <w:ind w:firstLine="480"/>
        <w:rPr>
          <w:rFonts w:cs="宋体"/>
          <w:szCs w:val="24"/>
        </w:rPr>
      </w:pPr>
      <w:r>
        <w:rPr>
          <w:rFonts w:hint="eastAsia" w:cs="宋体"/>
          <w:szCs w:val="24"/>
        </w:rPr>
        <w:t>业主单位按审查方式（鉴定、评议、审查或其他）对建设单位完成的工作进行验收,验收合格的，出具书面的技术服务验收证明。</w:t>
      </w:r>
    </w:p>
    <w:p w14:paraId="3DC2DFBD">
      <w:pPr>
        <w:spacing w:line="360" w:lineRule="auto"/>
        <w:ind w:firstLine="480"/>
        <w:rPr>
          <w:rFonts w:cs="宋体"/>
          <w:szCs w:val="24"/>
        </w:rPr>
      </w:pPr>
      <w:r>
        <w:rPr>
          <w:rFonts w:hint="eastAsia" w:cs="宋体"/>
          <w:szCs w:val="24"/>
        </w:rPr>
        <w:t>1）技术服务工作成果的验收标准：按照技术附件所确定的技术路线和方案，完成项目合同内容，系统提供的功能满足技术附件和设计要求，验收资料齐全，系统运行稳定。</w:t>
      </w:r>
    </w:p>
    <w:p w14:paraId="780E3D35">
      <w:pPr>
        <w:spacing w:line="360" w:lineRule="auto"/>
        <w:ind w:firstLine="480"/>
        <w:rPr>
          <w:rFonts w:cs="宋体"/>
          <w:szCs w:val="24"/>
        </w:rPr>
      </w:pPr>
      <w:r>
        <w:rPr>
          <w:rFonts w:hint="eastAsia" w:cs="宋体"/>
          <w:szCs w:val="24"/>
        </w:rPr>
        <w:t>2）验收方式，企业现场验收。</w:t>
      </w:r>
    </w:p>
    <w:p w14:paraId="554F1B81">
      <w:pPr>
        <w:spacing w:line="360" w:lineRule="auto"/>
        <w:ind w:firstLine="482"/>
        <w:outlineLvl w:val="3"/>
        <w:rPr>
          <w:b/>
          <w:bCs/>
        </w:rPr>
      </w:pPr>
      <w:bookmarkStart w:id="394" w:name="_Toc8974"/>
      <w:r>
        <w:rPr>
          <w:rFonts w:hint="eastAsia"/>
          <w:b/>
          <w:bCs/>
        </w:rPr>
        <w:t>9.4验收标准</w:t>
      </w:r>
      <w:bookmarkEnd w:id="394"/>
    </w:p>
    <w:p w14:paraId="56DF0A70">
      <w:pPr>
        <w:spacing w:line="360" w:lineRule="auto"/>
        <w:ind w:firstLine="480"/>
        <w:rPr>
          <w:rFonts w:cs="宋体"/>
          <w:szCs w:val="24"/>
        </w:rPr>
      </w:pPr>
      <w:r>
        <w:rPr>
          <w:rFonts w:hint="eastAsia" w:cs="宋体"/>
          <w:szCs w:val="24"/>
        </w:rPr>
        <w:t>系统需满足所有预定功能要求，需与项目合同之签订内容一致。</w:t>
      </w:r>
    </w:p>
    <w:p w14:paraId="45A05E14">
      <w:pPr>
        <w:spacing w:line="360" w:lineRule="auto"/>
        <w:ind w:firstLine="480"/>
        <w:rPr>
          <w:rFonts w:cs="宋体"/>
          <w:szCs w:val="24"/>
        </w:rPr>
      </w:pPr>
      <w:r>
        <w:rPr>
          <w:rFonts w:hint="eastAsia" w:cs="宋体"/>
          <w:szCs w:val="24"/>
        </w:rPr>
        <w:t>连续运行测试（至少72小时不间断）期间，系统不得出现任何影响正常工作的故障。</w:t>
      </w:r>
    </w:p>
    <w:p w14:paraId="3445F49E">
      <w:pPr>
        <w:spacing w:line="360" w:lineRule="auto"/>
        <w:ind w:firstLine="480"/>
        <w:rPr>
          <w:rFonts w:cs="宋体"/>
          <w:szCs w:val="24"/>
        </w:rPr>
      </w:pPr>
      <w:r>
        <w:rPr>
          <w:rFonts w:hint="eastAsia" w:cs="宋体"/>
          <w:szCs w:val="24"/>
        </w:rPr>
        <w:t>确保与其他现有系统的无缝对接，并能顺利交换数据，在1个月系统正常运行时间内，系统数据不出现数据掉线2次及以上的情况。</w:t>
      </w:r>
    </w:p>
    <w:p w14:paraId="7AC61295">
      <w:pPr>
        <w:spacing w:line="360" w:lineRule="auto"/>
        <w:ind w:firstLine="482"/>
        <w:outlineLvl w:val="3"/>
        <w:rPr>
          <w:b/>
          <w:bCs/>
        </w:rPr>
      </w:pPr>
      <w:bookmarkStart w:id="395" w:name="_Toc5761"/>
      <w:r>
        <w:rPr>
          <w:rFonts w:hint="eastAsia"/>
          <w:b/>
          <w:bCs/>
        </w:rPr>
        <w:t>9.5验收流程</w:t>
      </w:r>
      <w:bookmarkEnd w:id="395"/>
    </w:p>
    <w:p w14:paraId="1BC3DF62">
      <w:pPr>
        <w:pStyle w:val="43"/>
        <w:numPr>
          <w:ilvl w:val="0"/>
          <w:numId w:val="20"/>
        </w:numPr>
        <w:ind w:firstLineChars="0"/>
        <w:rPr>
          <w:rFonts w:cs="宋体"/>
          <w:szCs w:val="24"/>
        </w:rPr>
      </w:pPr>
      <w:r>
        <w:rPr>
          <w:rFonts w:hint="eastAsia" w:cs="宋体"/>
          <w:szCs w:val="24"/>
        </w:rPr>
        <w:t>初步检查：由建设单位组织对产品质量、功能指标等方面进行初步审查。</w:t>
      </w:r>
    </w:p>
    <w:p w14:paraId="445D72D1">
      <w:pPr>
        <w:pStyle w:val="43"/>
        <w:numPr>
          <w:ilvl w:val="0"/>
          <w:numId w:val="20"/>
        </w:numPr>
        <w:ind w:firstLineChars="0"/>
        <w:rPr>
          <w:rFonts w:cs="宋体"/>
          <w:szCs w:val="24"/>
        </w:rPr>
      </w:pPr>
      <w:r>
        <w:rPr>
          <w:rFonts w:hint="eastAsia" w:cs="宋体"/>
          <w:szCs w:val="24"/>
        </w:rPr>
        <w:t>功能测试：针对各项具体功能逐一验证，记录测试结果，对于不合格项需立即整改直至合格为止。</w:t>
      </w:r>
    </w:p>
    <w:p w14:paraId="500A88F4">
      <w:pPr>
        <w:pStyle w:val="43"/>
        <w:numPr>
          <w:ilvl w:val="0"/>
          <w:numId w:val="20"/>
        </w:numPr>
        <w:ind w:firstLineChars="0"/>
        <w:rPr>
          <w:rFonts w:cs="宋体"/>
          <w:szCs w:val="24"/>
        </w:rPr>
      </w:pPr>
      <w:r>
        <w:rPr>
          <w:rFonts w:hint="eastAsia" w:cs="宋体"/>
          <w:szCs w:val="24"/>
        </w:rPr>
        <w:t>文档审核：确认提交的所有文档资料准确无误且完整齐备，包括操作手册、维修指南等。</w:t>
      </w:r>
    </w:p>
    <w:p w14:paraId="3F34C7FD">
      <w:pPr>
        <w:pStyle w:val="43"/>
        <w:numPr>
          <w:ilvl w:val="0"/>
          <w:numId w:val="20"/>
        </w:numPr>
        <w:ind w:firstLineChars="0"/>
        <w:rPr>
          <w:rFonts w:cs="宋体"/>
          <w:szCs w:val="24"/>
        </w:rPr>
      </w:pPr>
      <w:r>
        <w:rPr>
          <w:rFonts w:hint="eastAsia" w:cs="宋体"/>
          <w:szCs w:val="24"/>
        </w:rPr>
        <w:t>签署验收：通过功能测试和文档审核流程后，由项目双方负责人签署正式验收文件。</w:t>
      </w:r>
    </w:p>
    <w:p w14:paraId="66E91C76">
      <w:pPr>
        <w:spacing w:line="360" w:lineRule="auto"/>
        <w:ind w:firstLine="482"/>
        <w:outlineLvl w:val="3"/>
        <w:rPr>
          <w:b/>
          <w:bCs/>
        </w:rPr>
      </w:pPr>
      <w:bookmarkStart w:id="396" w:name="_Toc26499"/>
      <w:r>
        <w:rPr>
          <w:rFonts w:hint="eastAsia"/>
          <w:b/>
          <w:bCs/>
        </w:rPr>
        <w:t>9.6 时间节点</w:t>
      </w:r>
      <w:bookmarkEnd w:id="396"/>
    </w:p>
    <w:p w14:paraId="17F5B5C2">
      <w:pPr>
        <w:spacing w:line="360" w:lineRule="auto"/>
        <w:ind w:firstLine="480"/>
        <w:rPr>
          <w:rFonts w:cs="宋体"/>
          <w:szCs w:val="24"/>
        </w:rPr>
      </w:pPr>
      <w:r>
        <w:rPr>
          <w:rFonts w:hint="eastAsia" w:cs="宋体"/>
          <w:szCs w:val="24"/>
        </w:rPr>
        <w:t>项目建设完成后3个工作日内完成初步检查；初步检查通过后，需进行系统试运行1个月，试运行无出现超过验收标准的问题后，再进行验收工作，并1个月内完成全部验收工作。如遇特殊情况需延长验收周期，须提前书面通知对方并获得同意。</w:t>
      </w:r>
    </w:p>
    <w:p w14:paraId="484A939D">
      <w:pPr>
        <w:spacing w:line="360" w:lineRule="auto"/>
        <w:ind w:firstLine="482"/>
        <w:outlineLvl w:val="3"/>
        <w:rPr>
          <w:b/>
          <w:bCs/>
        </w:rPr>
      </w:pPr>
      <w:bookmarkStart w:id="397" w:name="_Toc12447"/>
      <w:r>
        <w:rPr>
          <w:rFonts w:hint="eastAsia"/>
          <w:b/>
          <w:bCs/>
        </w:rPr>
        <w:t>9.7不合格处理</w:t>
      </w:r>
      <w:bookmarkEnd w:id="397"/>
    </w:p>
    <w:p w14:paraId="700DDA74">
      <w:pPr>
        <w:spacing w:line="360" w:lineRule="auto"/>
        <w:ind w:firstLine="480"/>
        <w:rPr>
          <w:rFonts w:cs="宋体"/>
          <w:szCs w:val="24"/>
        </w:rPr>
      </w:pPr>
      <w:r>
        <w:rPr>
          <w:rFonts w:hint="eastAsia" w:cs="宋体"/>
          <w:szCs w:val="24"/>
        </w:rPr>
        <w:t>若在任一环节发现不符合项，承建方应在规定时间内完成整改并向业主单位重新申请相应阶段的验收。</w:t>
      </w:r>
    </w:p>
    <w:p w14:paraId="5E828DF9">
      <w:pPr>
        <w:spacing w:line="360" w:lineRule="auto"/>
        <w:ind w:firstLine="482"/>
        <w:outlineLvl w:val="3"/>
        <w:rPr>
          <w:b/>
          <w:bCs/>
        </w:rPr>
      </w:pPr>
      <w:bookmarkStart w:id="398" w:name="_Toc9810"/>
      <w:r>
        <w:rPr>
          <w:rFonts w:hint="eastAsia"/>
          <w:b/>
          <w:bCs/>
        </w:rPr>
        <w:t>9.8交付物</w:t>
      </w:r>
      <w:bookmarkEnd w:id="398"/>
    </w:p>
    <w:p w14:paraId="518D70C8">
      <w:pPr>
        <w:spacing w:line="360" w:lineRule="auto"/>
        <w:ind w:firstLine="480"/>
        <w:rPr>
          <w:rFonts w:cs="宋体"/>
          <w:szCs w:val="24"/>
        </w:rPr>
      </w:pPr>
      <w:r>
        <w:rPr>
          <w:rFonts w:hint="eastAsia" w:cs="宋体"/>
          <w:szCs w:val="24"/>
        </w:rPr>
        <w:t>验收合格后，承建方向业主单位正式移交以下物品：</w:t>
      </w:r>
    </w:p>
    <w:p w14:paraId="3A2C9501">
      <w:pPr>
        <w:spacing w:line="360" w:lineRule="auto"/>
        <w:ind w:firstLine="480"/>
        <w:rPr>
          <w:rFonts w:cs="宋体"/>
          <w:szCs w:val="24"/>
        </w:rPr>
      </w:pPr>
      <w:r>
        <w:rPr>
          <w:rFonts w:hint="eastAsia" w:cs="宋体"/>
          <w:szCs w:val="24"/>
        </w:rPr>
        <w:t>《项目验收报告》；</w:t>
      </w:r>
    </w:p>
    <w:p w14:paraId="5B5D13DD">
      <w:pPr>
        <w:spacing w:line="360" w:lineRule="auto"/>
        <w:ind w:firstLine="480"/>
        <w:rPr>
          <w:rFonts w:cs="宋体"/>
          <w:szCs w:val="24"/>
        </w:rPr>
      </w:pPr>
      <w:r>
        <w:rPr>
          <w:rFonts w:hint="eastAsia" w:cs="宋体"/>
          <w:szCs w:val="24"/>
        </w:rPr>
        <w:t>《交付物清单》；</w:t>
      </w:r>
    </w:p>
    <w:p w14:paraId="1CCFF096">
      <w:pPr>
        <w:spacing w:line="360" w:lineRule="auto"/>
        <w:ind w:firstLine="480"/>
        <w:rPr>
          <w:rFonts w:cs="宋体"/>
          <w:szCs w:val="24"/>
        </w:rPr>
      </w:pPr>
      <w:r>
        <w:rPr>
          <w:rFonts w:hint="eastAsia" w:cs="宋体"/>
          <w:szCs w:val="24"/>
        </w:rPr>
        <w:t>《维保协议》；</w:t>
      </w:r>
    </w:p>
    <w:p w14:paraId="704D6229">
      <w:pPr>
        <w:spacing w:line="360" w:lineRule="auto"/>
        <w:ind w:firstLine="480"/>
        <w:rPr>
          <w:rFonts w:cs="宋体"/>
          <w:szCs w:val="24"/>
        </w:rPr>
      </w:pPr>
      <w:r>
        <w:rPr>
          <w:rFonts w:hint="eastAsia" w:cs="宋体"/>
          <w:szCs w:val="24"/>
        </w:rPr>
        <w:t xml:space="preserve">《系统操作指南》； </w:t>
      </w:r>
    </w:p>
    <w:p w14:paraId="63BBBD86">
      <w:pPr>
        <w:spacing w:line="560" w:lineRule="exact"/>
        <w:ind w:left="480" w:leftChars="200" w:firstLine="0" w:firstLineChars="0"/>
        <w:outlineLvl w:val="0"/>
        <w:rPr>
          <w:rFonts w:ascii="黑体" w:hAnsi="黑体" w:eastAsia="黑体" w:cs="黑体"/>
          <w:bCs/>
          <w:kern w:val="2"/>
          <w:sz w:val="32"/>
          <w:szCs w:val="32"/>
        </w:rPr>
      </w:pPr>
      <w:bookmarkStart w:id="399" w:name="_Toc22970"/>
      <w:bookmarkStart w:id="400" w:name="_Toc13084"/>
      <w:bookmarkStart w:id="401" w:name="_Toc9973"/>
      <w:bookmarkStart w:id="402" w:name="_Toc19582"/>
      <w:bookmarkStart w:id="403" w:name="_Toc465"/>
      <w:bookmarkStart w:id="404" w:name="_Toc26602"/>
      <w:bookmarkStart w:id="405" w:name="_Toc14193"/>
      <w:bookmarkStart w:id="406" w:name="_Toc14850"/>
      <w:r>
        <w:rPr>
          <w:rFonts w:hint="eastAsia" w:ascii="黑体" w:hAnsi="黑体" w:eastAsia="黑体" w:cs="黑体"/>
          <w:bCs/>
          <w:kern w:val="2"/>
          <w:sz w:val="32"/>
          <w:szCs w:val="32"/>
          <w:lang w:val="en-US" w:eastAsia="zh-CN"/>
        </w:rPr>
        <w:t>六</w:t>
      </w:r>
      <w:r>
        <w:rPr>
          <w:rFonts w:ascii="黑体" w:hAnsi="黑体" w:eastAsia="黑体" w:cs="黑体"/>
          <w:bCs/>
          <w:kern w:val="2"/>
          <w:sz w:val="32"/>
          <w:szCs w:val="32"/>
        </w:rPr>
        <w:t>、</w:t>
      </w:r>
      <w:r>
        <w:rPr>
          <w:rFonts w:hint="eastAsia" w:ascii="黑体" w:hAnsi="黑体" w:eastAsia="黑体" w:cs="黑体"/>
          <w:bCs/>
          <w:kern w:val="2"/>
          <w:sz w:val="32"/>
          <w:szCs w:val="32"/>
        </w:rPr>
        <w:t>质量保证</w:t>
      </w:r>
      <w:bookmarkEnd w:id="399"/>
      <w:bookmarkEnd w:id="400"/>
      <w:bookmarkEnd w:id="401"/>
      <w:bookmarkEnd w:id="402"/>
      <w:bookmarkEnd w:id="403"/>
      <w:bookmarkEnd w:id="404"/>
      <w:bookmarkEnd w:id="405"/>
      <w:bookmarkEnd w:id="406"/>
    </w:p>
    <w:p w14:paraId="3462969F">
      <w:pPr>
        <w:spacing w:line="360" w:lineRule="auto"/>
        <w:ind w:firstLine="480"/>
        <w:rPr>
          <w:rFonts w:cs="宋体"/>
          <w:szCs w:val="24"/>
        </w:rPr>
      </w:pPr>
      <w:r>
        <w:rPr>
          <w:rFonts w:hint="eastAsia" w:cs="宋体"/>
          <w:szCs w:val="24"/>
        </w:rPr>
        <w:t>1.中标方应对系统的安装、实施、测试和验收等建立完整的、有效的质量保证体系，对其所提供的系统保证进行全面、有效、及时的技术支持和售后服务，并出具技术服务承诺函。</w:t>
      </w:r>
    </w:p>
    <w:p w14:paraId="45391C8A">
      <w:pPr>
        <w:spacing w:line="360" w:lineRule="auto"/>
        <w:ind w:firstLine="480"/>
        <w:rPr>
          <w:rFonts w:cs="宋体"/>
          <w:szCs w:val="24"/>
        </w:rPr>
      </w:pPr>
      <w:r>
        <w:rPr>
          <w:rFonts w:hint="eastAsia" w:cs="宋体"/>
          <w:szCs w:val="24"/>
        </w:rPr>
        <w:t>2.中标方为招标方提供终生技术咨询服务。</w:t>
      </w:r>
    </w:p>
    <w:p w14:paraId="3B08BE9D">
      <w:pPr>
        <w:spacing w:line="360" w:lineRule="auto"/>
        <w:ind w:firstLine="480"/>
        <w:rPr>
          <w:rFonts w:cs="宋体"/>
          <w:szCs w:val="24"/>
        </w:rPr>
      </w:pPr>
      <w:r>
        <w:rPr>
          <w:rFonts w:hint="eastAsia" w:cs="宋体"/>
          <w:szCs w:val="24"/>
        </w:rPr>
        <w:t>3.中标方对其提交的所有产品（含第三方产品和自主版权软件产品），自从竣工验收合格之日起开始计算，提供1年的质保服务和1年运行维护服务，维护期内应提供服务包括但不限于以下形式的技术支持服务：应急响应热线、专人专线远程支持、紧急救援服务、现场巡检等。</w:t>
      </w:r>
    </w:p>
    <w:p w14:paraId="598556C3">
      <w:pPr>
        <w:spacing w:line="360" w:lineRule="auto"/>
        <w:ind w:firstLine="480"/>
        <w:rPr>
          <w:rFonts w:cs="宋体"/>
          <w:szCs w:val="24"/>
        </w:rPr>
      </w:pPr>
      <w:r>
        <w:rPr>
          <w:rFonts w:hint="eastAsia" w:cs="宋体"/>
          <w:szCs w:val="24"/>
        </w:rPr>
        <w:t>4.质保期内所发生故障、使用问题，中标方应当在接到招标方通知后，在规定的时间到现场进行故障处理，如中标方未能按时到达故障现场，招标方可另行派维修人员经行抢修，发生的费用和对招标方及第三方造成的损失由中标方承担；招标方在事发15工作日内向中标方发出承担费用及损失的通知，提供相关资料证明，中标方及时核定并做出书面回应，否则招标方可不经中标方认可直接从中标方的质保金中支付。</w:t>
      </w:r>
    </w:p>
    <w:p w14:paraId="6B5E6CD9">
      <w:pPr>
        <w:spacing w:line="360" w:lineRule="auto"/>
        <w:ind w:firstLine="480"/>
        <w:rPr>
          <w:rFonts w:cs="宋体"/>
          <w:szCs w:val="24"/>
        </w:rPr>
      </w:pPr>
      <w:r>
        <w:rPr>
          <w:rFonts w:hint="eastAsia" w:cs="宋体"/>
          <w:szCs w:val="24"/>
        </w:rPr>
        <w:t>5.故障处理完成后，由双方组织进行确认。</w:t>
      </w:r>
    </w:p>
    <w:p w14:paraId="2082C442">
      <w:pPr>
        <w:spacing w:line="360" w:lineRule="auto"/>
        <w:ind w:firstLine="480"/>
        <w:rPr>
          <w:rFonts w:cs="宋体"/>
          <w:szCs w:val="24"/>
        </w:rPr>
      </w:pPr>
      <w:r>
        <w:rPr>
          <w:rFonts w:hint="eastAsia" w:cs="宋体"/>
          <w:szCs w:val="24"/>
        </w:rPr>
        <w:t>6.在质量保证期内，如发现系统有缺陷，中标方应负责立即修正、更换,由此所发生的一切费用由中标方承担。</w:t>
      </w:r>
    </w:p>
    <w:p w14:paraId="53AFE288">
      <w:pPr>
        <w:spacing w:line="560" w:lineRule="exact"/>
        <w:ind w:left="480" w:leftChars="200" w:firstLine="0" w:firstLineChars="0"/>
        <w:outlineLvl w:val="0"/>
        <w:rPr>
          <w:rFonts w:ascii="黑体" w:hAnsi="黑体" w:eastAsia="黑体" w:cs="黑体"/>
          <w:bCs/>
          <w:kern w:val="2"/>
          <w:sz w:val="32"/>
          <w:szCs w:val="32"/>
        </w:rPr>
      </w:pPr>
      <w:bookmarkStart w:id="407" w:name="_Toc21165"/>
      <w:bookmarkStart w:id="408" w:name="_Toc27262"/>
      <w:bookmarkStart w:id="409" w:name="_Toc19835"/>
      <w:bookmarkStart w:id="410" w:name="_Toc9396"/>
      <w:bookmarkStart w:id="411" w:name="_Toc4902"/>
      <w:bookmarkStart w:id="412" w:name="_Toc26485"/>
      <w:bookmarkStart w:id="413" w:name="_Toc12253"/>
      <w:bookmarkStart w:id="414" w:name="_Toc18215"/>
      <w:r>
        <w:rPr>
          <w:rFonts w:hint="eastAsia" w:ascii="黑体" w:hAnsi="黑体" w:eastAsia="黑体" w:cs="黑体"/>
          <w:bCs/>
          <w:kern w:val="2"/>
          <w:sz w:val="32"/>
          <w:szCs w:val="32"/>
          <w:lang w:val="en-US" w:eastAsia="zh-CN"/>
        </w:rPr>
        <w:t>七</w:t>
      </w:r>
      <w:r>
        <w:rPr>
          <w:rFonts w:hint="eastAsia" w:ascii="黑体" w:hAnsi="黑体" w:eastAsia="黑体" w:cs="黑体"/>
          <w:bCs/>
          <w:kern w:val="2"/>
          <w:sz w:val="32"/>
          <w:szCs w:val="32"/>
        </w:rPr>
        <w:t>、其他</w:t>
      </w:r>
      <w:bookmarkEnd w:id="407"/>
      <w:bookmarkEnd w:id="408"/>
      <w:bookmarkEnd w:id="409"/>
      <w:bookmarkEnd w:id="410"/>
      <w:bookmarkEnd w:id="411"/>
      <w:bookmarkEnd w:id="412"/>
      <w:bookmarkEnd w:id="413"/>
      <w:bookmarkEnd w:id="414"/>
    </w:p>
    <w:p w14:paraId="1D924AFC">
      <w:pPr>
        <w:pStyle w:val="58"/>
        <w:spacing w:line="560" w:lineRule="exact"/>
        <w:ind w:firstLine="643"/>
        <w:outlineLvl w:val="1"/>
        <w:rPr>
          <w:rFonts w:ascii="楷体_GB2312" w:hAnsi="楷体_GB2312" w:eastAsia="楷体_GB2312" w:cs="楷体_GB2312"/>
          <w:b/>
          <w:bCs/>
          <w:sz w:val="32"/>
          <w:szCs w:val="32"/>
        </w:rPr>
      </w:pPr>
      <w:bookmarkStart w:id="415" w:name="_Toc12477"/>
      <w:bookmarkStart w:id="416" w:name="_Toc17672"/>
      <w:bookmarkStart w:id="417" w:name="_Toc28892"/>
      <w:bookmarkStart w:id="418" w:name="_Toc27456"/>
      <w:bookmarkStart w:id="419" w:name="_Toc20120"/>
      <w:bookmarkStart w:id="420" w:name="_Toc27690"/>
      <w:bookmarkStart w:id="421" w:name="_Toc18298"/>
      <w:bookmarkStart w:id="422" w:name="_Toc19931"/>
      <w:bookmarkStart w:id="423" w:name="_Toc12718"/>
      <w:r>
        <w:rPr>
          <w:rFonts w:hint="eastAsia" w:ascii="楷体_GB2312" w:hAnsi="楷体_GB2312" w:eastAsia="楷体_GB2312" w:cs="楷体_GB2312"/>
          <w:b/>
          <w:bCs/>
          <w:sz w:val="32"/>
          <w:szCs w:val="32"/>
        </w:rPr>
        <w:t>（一）文档资料</w:t>
      </w:r>
      <w:bookmarkEnd w:id="415"/>
      <w:bookmarkEnd w:id="416"/>
      <w:bookmarkEnd w:id="417"/>
      <w:bookmarkEnd w:id="418"/>
      <w:bookmarkEnd w:id="419"/>
      <w:bookmarkEnd w:id="420"/>
      <w:bookmarkEnd w:id="421"/>
      <w:bookmarkEnd w:id="422"/>
    </w:p>
    <w:p w14:paraId="10535548">
      <w:pPr>
        <w:spacing w:line="360" w:lineRule="auto"/>
        <w:ind w:firstLine="480"/>
        <w:rPr>
          <w:rFonts w:cs="宋体"/>
          <w:szCs w:val="24"/>
        </w:rPr>
      </w:pPr>
      <w:r>
        <w:rPr>
          <w:rFonts w:hint="eastAsia" w:cs="宋体"/>
          <w:szCs w:val="24"/>
        </w:rPr>
        <w:t>项目文档成果中至少包括以下内容，中标人还可以补充自己认为必要的其它内容。要求提出项目各阶段的里程碑点和交付物，其所有权或相关知识产权属招标人所有。</w:t>
      </w:r>
    </w:p>
    <w:p w14:paraId="67FB5351">
      <w:pPr>
        <w:spacing w:line="360" w:lineRule="auto"/>
        <w:ind w:firstLine="480"/>
        <w:rPr>
          <w:rFonts w:cs="宋体"/>
          <w:szCs w:val="24"/>
        </w:rPr>
      </w:pPr>
      <w:r>
        <w:rPr>
          <w:rFonts w:hint="eastAsia" w:cs="宋体"/>
          <w:szCs w:val="24"/>
        </w:rPr>
        <w:t>1.项目整体详细设计方案、实施安装计划、软件开发调试计划、各阶段进度报告、等；</w:t>
      </w:r>
    </w:p>
    <w:p w14:paraId="2FB8320E">
      <w:pPr>
        <w:spacing w:line="360" w:lineRule="auto"/>
        <w:ind w:firstLine="480"/>
        <w:rPr>
          <w:rFonts w:cs="宋体"/>
          <w:szCs w:val="24"/>
        </w:rPr>
      </w:pPr>
      <w:r>
        <w:rPr>
          <w:rFonts w:hint="eastAsia" w:cs="宋体"/>
          <w:szCs w:val="24"/>
        </w:rPr>
        <w:t>2.投标方提供的最终资料包括：用户调查表、需求确认书、蓝图设计说明书、项目管理文档、软件开发文档、系统配置文档、硬件配置文档、系统测试报告（过程、最终）、维护文档、数据库文档、培训计划、培训材料、培训记录、用户最终使用手册、上线策略方案、上线确认报告、项目验收总结报告等。</w:t>
      </w:r>
    </w:p>
    <w:p w14:paraId="4864FE94">
      <w:pPr>
        <w:pStyle w:val="58"/>
        <w:spacing w:line="560" w:lineRule="exact"/>
        <w:ind w:firstLine="643"/>
        <w:outlineLvl w:val="1"/>
        <w:rPr>
          <w:rFonts w:ascii="楷体_GB2312" w:hAnsi="楷体_GB2312" w:eastAsia="楷体_GB2312" w:cs="楷体_GB2312"/>
          <w:b/>
          <w:bCs/>
          <w:sz w:val="32"/>
          <w:szCs w:val="32"/>
        </w:rPr>
      </w:pPr>
      <w:bookmarkStart w:id="424" w:name="_Toc5636"/>
      <w:bookmarkStart w:id="425" w:name="_Toc5622"/>
      <w:bookmarkStart w:id="426" w:name="_Toc18709"/>
      <w:bookmarkStart w:id="427" w:name="_Toc32489"/>
      <w:bookmarkStart w:id="428" w:name="_Toc16785"/>
      <w:bookmarkStart w:id="429" w:name="_Toc3624"/>
      <w:bookmarkStart w:id="430" w:name="_Toc27773"/>
      <w:bookmarkStart w:id="431" w:name="_Toc4611"/>
      <w:r>
        <w:rPr>
          <w:rFonts w:hint="eastAsia" w:ascii="楷体_GB2312" w:hAnsi="楷体_GB2312" w:eastAsia="楷体_GB2312" w:cs="楷体_GB2312"/>
          <w:b/>
          <w:bCs/>
          <w:sz w:val="32"/>
          <w:szCs w:val="32"/>
        </w:rPr>
        <w:t>（二）技术服务</w:t>
      </w:r>
      <w:bookmarkEnd w:id="423"/>
      <w:bookmarkEnd w:id="424"/>
      <w:bookmarkEnd w:id="425"/>
      <w:bookmarkEnd w:id="426"/>
      <w:bookmarkEnd w:id="427"/>
      <w:bookmarkEnd w:id="428"/>
      <w:bookmarkEnd w:id="429"/>
      <w:bookmarkEnd w:id="430"/>
      <w:bookmarkEnd w:id="431"/>
    </w:p>
    <w:p w14:paraId="65875625">
      <w:pPr>
        <w:spacing w:line="360" w:lineRule="auto"/>
        <w:ind w:firstLine="480"/>
        <w:rPr>
          <w:rFonts w:cs="宋体"/>
          <w:szCs w:val="24"/>
        </w:rPr>
      </w:pPr>
      <w:r>
        <w:rPr>
          <w:rFonts w:hint="eastAsia" w:cs="宋体"/>
          <w:szCs w:val="24"/>
        </w:rPr>
        <w:t>1.中标方应根据招标方的需求，对其所提供的应用软件保证进行全面、有效、及时的技术支持和售后服务，并出具技术服务承诺函。</w:t>
      </w:r>
    </w:p>
    <w:p w14:paraId="1400B63E">
      <w:pPr>
        <w:spacing w:line="360" w:lineRule="auto"/>
        <w:ind w:firstLine="480"/>
        <w:rPr>
          <w:rFonts w:cs="宋体"/>
          <w:szCs w:val="24"/>
        </w:rPr>
      </w:pPr>
      <w:r>
        <w:rPr>
          <w:rFonts w:hint="eastAsia" w:cs="宋体"/>
          <w:szCs w:val="24"/>
        </w:rPr>
        <w:t>2.中标方为招标方提供终生技术咨询服务</w:t>
      </w:r>
    </w:p>
    <w:p w14:paraId="7A5C121B">
      <w:pPr>
        <w:spacing w:line="360" w:lineRule="auto"/>
        <w:ind w:firstLine="480"/>
        <w:rPr>
          <w:rFonts w:cs="宋体"/>
          <w:szCs w:val="24"/>
        </w:rPr>
      </w:pPr>
      <w:r>
        <w:rPr>
          <w:rFonts w:hint="eastAsia" w:cs="宋体"/>
          <w:szCs w:val="24"/>
        </w:rPr>
        <w:t>3.中标方对其提交的所有产品（含第三方产品和自主版权软件产品），自从竣工验收合格之日起开始计算，提供免费1年的质保服务和2年运行维护服务，维护期内应提供服务包括但不限于以下形式的技术支持服务：应急响应热线、专人专线远程支持、紧急救援服务、现场巡检等。</w:t>
      </w:r>
    </w:p>
    <w:p w14:paraId="392F8EBE">
      <w:pPr>
        <w:spacing w:line="360" w:lineRule="auto"/>
        <w:ind w:firstLine="480"/>
        <w:rPr>
          <w:rFonts w:ascii="微软雅黑" w:hAnsi="微软雅黑" w:eastAsia="微软雅黑" w:cs="微软雅黑"/>
          <w:sz w:val="2"/>
          <w:szCs w:val="2"/>
        </w:rPr>
      </w:pPr>
      <w:r>
        <w:rPr>
          <w:rFonts w:hint="eastAsia" w:cs="宋体"/>
          <w:szCs w:val="24"/>
        </w:rPr>
        <w:t>4.提供7×24小时(节假日不休)的服务响应。</w:t>
      </w:r>
    </w:p>
    <w:p w14:paraId="7083EF74">
      <w:pPr>
        <w:pStyle w:val="58"/>
        <w:spacing w:line="560" w:lineRule="exact"/>
        <w:ind w:firstLine="643"/>
        <w:outlineLvl w:val="1"/>
        <w:rPr>
          <w:rFonts w:ascii="楷体_GB2312" w:hAnsi="楷体_GB2312" w:eastAsia="楷体_GB2312" w:cs="楷体_GB2312"/>
          <w:b/>
          <w:bCs/>
          <w:sz w:val="32"/>
          <w:szCs w:val="32"/>
        </w:rPr>
      </w:pPr>
      <w:bookmarkStart w:id="432" w:name="_Toc24095"/>
      <w:bookmarkStart w:id="433" w:name="_Toc7531"/>
      <w:bookmarkStart w:id="434" w:name="_Toc833"/>
      <w:bookmarkStart w:id="435" w:name="_Toc5772"/>
      <w:bookmarkStart w:id="436" w:name="_Toc26393"/>
      <w:bookmarkStart w:id="437" w:name="_Toc15940"/>
      <w:bookmarkStart w:id="438" w:name="_Toc29234"/>
      <w:bookmarkStart w:id="439" w:name="_Toc31081"/>
      <w:bookmarkStart w:id="440" w:name="_Toc11213"/>
      <w:r>
        <w:rPr>
          <w:rFonts w:hint="eastAsia" w:ascii="楷体_GB2312" w:hAnsi="楷体_GB2312" w:eastAsia="楷体_GB2312" w:cs="楷体_GB2312"/>
          <w:b/>
          <w:bCs/>
          <w:sz w:val="32"/>
          <w:szCs w:val="32"/>
        </w:rPr>
        <w:t>（三）培训服务</w:t>
      </w:r>
      <w:bookmarkEnd w:id="432"/>
      <w:bookmarkEnd w:id="433"/>
      <w:bookmarkEnd w:id="434"/>
      <w:bookmarkEnd w:id="435"/>
      <w:bookmarkEnd w:id="436"/>
      <w:bookmarkEnd w:id="437"/>
      <w:bookmarkEnd w:id="438"/>
      <w:bookmarkEnd w:id="439"/>
      <w:bookmarkEnd w:id="440"/>
    </w:p>
    <w:p w14:paraId="10862C94">
      <w:pPr>
        <w:spacing w:line="360" w:lineRule="auto"/>
        <w:ind w:firstLine="480"/>
        <w:rPr>
          <w:rFonts w:cs="宋体"/>
          <w:szCs w:val="24"/>
        </w:rPr>
      </w:pPr>
      <w:r>
        <w:rPr>
          <w:rFonts w:hint="eastAsia" w:cs="宋体"/>
          <w:szCs w:val="24"/>
        </w:rPr>
        <w:t>1.培训对象包括招标方各级领导、业务技术人员。通过培训使最终用户能够熟练使用系统相关功能。</w:t>
      </w:r>
    </w:p>
    <w:p w14:paraId="0668F1ED">
      <w:pPr>
        <w:spacing w:line="360" w:lineRule="auto"/>
        <w:ind w:firstLine="480"/>
        <w:rPr>
          <w:rFonts w:cs="宋体"/>
          <w:szCs w:val="24"/>
        </w:rPr>
      </w:pPr>
      <w:r>
        <w:rPr>
          <w:rFonts w:hint="eastAsia" w:cs="宋体"/>
          <w:szCs w:val="24"/>
        </w:rPr>
        <w:t>2.中标方应向招标方提供有关软件运行维护方面的详细培训计划，在招标方指定的地点进行集中培训。</w:t>
      </w:r>
    </w:p>
    <w:p w14:paraId="0315C181">
      <w:pPr>
        <w:spacing w:line="360" w:lineRule="auto"/>
        <w:ind w:firstLine="480"/>
        <w:rPr>
          <w:rFonts w:cs="宋体"/>
          <w:szCs w:val="24"/>
        </w:rPr>
      </w:pPr>
      <w:r>
        <w:rPr>
          <w:rFonts w:hint="eastAsia" w:cs="宋体"/>
          <w:szCs w:val="24"/>
        </w:rPr>
        <w:t>3.除集中培训外，中标方还需要在项目实施过程中，对招标方指定的最终用户人员进行必要的现场培训。</w:t>
      </w:r>
    </w:p>
    <w:p w14:paraId="74AD3260">
      <w:pPr>
        <w:spacing w:line="360" w:lineRule="auto"/>
        <w:ind w:firstLine="480"/>
        <w:rPr>
          <w:rFonts w:cs="宋体"/>
          <w:szCs w:val="24"/>
        </w:rPr>
      </w:pPr>
      <w:r>
        <w:rPr>
          <w:rFonts w:hint="eastAsia" w:cs="宋体"/>
          <w:szCs w:val="24"/>
        </w:rPr>
        <w:t>4.培训内容包括但不限于与应用系统相关的软件模块、系统功能应用、系统配置、管理、运维、功能配置与开发培训，项目管理方法、业务流程梳理方法的培训等，投标人应提供培训计划、培训课程概述（大纲）、培训的目的等，培训时中标方应提供相关的中文培训资料。</w:t>
      </w:r>
    </w:p>
    <w:p w14:paraId="337275C7">
      <w:pPr>
        <w:spacing w:line="360" w:lineRule="auto"/>
        <w:ind w:firstLine="480"/>
        <w:rPr>
          <w:rFonts w:cs="宋体"/>
          <w:szCs w:val="24"/>
        </w:rPr>
      </w:pPr>
      <w:r>
        <w:rPr>
          <w:rFonts w:hint="eastAsia" w:cs="宋体"/>
          <w:szCs w:val="24"/>
        </w:rPr>
        <w:t>5.中标方应提供贯穿项目全过程的培训服务，针对不同阶段、不同角色、不同的需求组织多种形式的培训，如课堂培训、实战培训、自助学习多媒体课件等，实现知识转移，以便使用户全面掌握系统功能、特点和必要的运维知识，保障系统长期稳定地运行。</w:t>
      </w:r>
    </w:p>
    <w:p w14:paraId="491D293C">
      <w:pPr>
        <w:spacing w:line="360" w:lineRule="auto"/>
        <w:ind w:firstLine="480"/>
        <w:rPr>
          <w:rFonts w:cs="宋体"/>
          <w:sz w:val="28"/>
          <w:szCs w:val="28"/>
        </w:rPr>
      </w:pPr>
      <w:r>
        <w:rPr>
          <w:rFonts w:hint="eastAsia" w:cs="宋体"/>
          <w:szCs w:val="24"/>
        </w:rPr>
        <w:t>6.中标方的技术转让应能使信息系统工作人员运作、支持、维护系统并为系统升级。中标方应为指定的人员安排合适和足够的培训，以使其在实施过程中能有效参与，并且在实施完成后顺利交接。</w:t>
      </w:r>
    </w:p>
    <w:p w14:paraId="7EC3C9BF">
      <w:pPr>
        <w:pStyle w:val="58"/>
        <w:spacing w:line="560" w:lineRule="exact"/>
        <w:ind w:firstLine="643"/>
        <w:outlineLvl w:val="1"/>
        <w:rPr>
          <w:rFonts w:ascii="楷体_GB2312" w:hAnsi="楷体_GB2312" w:eastAsia="楷体_GB2312" w:cs="楷体_GB2312"/>
          <w:b/>
          <w:bCs/>
          <w:sz w:val="32"/>
          <w:szCs w:val="32"/>
        </w:rPr>
      </w:pPr>
      <w:bookmarkStart w:id="441" w:name="_Toc21701"/>
      <w:bookmarkStart w:id="442" w:name="_Toc28404"/>
      <w:bookmarkStart w:id="443" w:name="_Toc16601"/>
      <w:bookmarkStart w:id="444" w:name="_Toc18680"/>
      <w:bookmarkStart w:id="445" w:name="_Toc16377"/>
      <w:bookmarkStart w:id="446" w:name="_Toc22543"/>
      <w:bookmarkStart w:id="447" w:name="_Toc23132"/>
      <w:bookmarkStart w:id="448" w:name="_Toc19127"/>
      <w:r>
        <w:rPr>
          <w:rFonts w:hint="eastAsia" w:ascii="楷体_GB2312" w:hAnsi="楷体_GB2312" w:eastAsia="楷体_GB2312" w:cs="楷体_GB2312"/>
          <w:b/>
          <w:bCs/>
          <w:sz w:val="32"/>
          <w:szCs w:val="32"/>
        </w:rPr>
        <w:t>（四）产品交付</w:t>
      </w:r>
      <w:bookmarkEnd w:id="441"/>
      <w:bookmarkEnd w:id="442"/>
      <w:bookmarkEnd w:id="443"/>
      <w:bookmarkEnd w:id="444"/>
      <w:bookmarkEnd w:id="445"/>
      <w:bookmarkEnd w:id="446"/>
      <w:bookmarkEnd w:id="447"/>
      <w:bookmarkEnd w:id="448"/>
    </w:p>
    <w:p w14:paraId="381F9441">
      <w:pPr>
        <w:spacing w:line="360" w:lineRule="auto"/>
        <w:ind w:firstLine="480"/>
        <w:rPr>
          <w:rFonts w:cs="宋体"/>
          <w:szCs w:val="24"/>
        </w:rPr>
      </w:pPr>
      <w:r>
        <w:rPr>
          <w:rFonts w:cs="宋体"/>
          <w:szCs w:val="24"/>
        </w:rPr>
        <w:t>中标方应在合同生效之日起</w:t>
      </w:r>
      <w:r>
        <w:rPr>
          <w:rFonts w:hint="eastAsia" w:cs="宋体"/>
          <w:szCs w:val="24"/>
        </w:rPr>
        <w:t>300</w:t>
      </w:r>
      <w:r>
        <w:rPr>
          <w:rFonts w:cs="宋体"/>
          <w:szCs w:val="24"/>
        </w:rPr>
        <w:t>个日历日内完成系统建设、测试、用户培训、试运行以及上线运行等项目实施相关工作。</w:t>
      </w:r>
    </w:p>
    <w:p w14:paraId="2E8762CC">
      <w:pPr>
        <w:spacing w:line="360" w:lineRule="auto"/>
        <w:ind w:firstLine="480"/>
        <w:rPr>
          <w:rFonts w:cs="宋体"/>
          <w:szCs w:val="24"/>
        </w:rPr>
      </w:pPr>
      <w:r>
        <w:rPr>
          <w:rFonts w:cs="宋体"/>
          <w:szCs w:val="24"/>
        </w:rPr>
        <w:t>中标方针对项目做出切实可行的项目实施方案，包括项目组织管理、质量保证和控制、项目实施进度计划、系统安全、测试、培训等各阶段的具体工作时间安排，以及人员组织、业务需求的功能时间进度安排。</w:t>
      </w:r>
    </w:p>
    <w:p w14:paraId="1AE5F624">
      <w:pPr>
        <w:spacing w:line="360" w:lineRule="auto"/>
        <w:ind w:firstLine="480"/>
        <w:rPr>
          <w:rFonts w:cs="宋体"/>
          <w:szCs w:val="24"/>
        </w:rPr>
      </w:pPr>
      <w:r>
        <w:rPr>
          <w:rFonts w:hint="eastAsia" w:cs="宋体"/>
          <w:szCs w:val="24"/>
        </w:rPr>
        <w:t>1.中标方应在中标后负责在项目规定的时间内完成本招标文件陈述的工作任务。</w:t>
      </w:r>
    </w:p>
    <w:p w14:paraId="0320883E">
      <w:pPr>
        <w:spacing w:line="360" w:lineRule="auto"/>
        <w:ind w:firstLine="480"/>
        <w:rPr>
          <w:rFonts w:cs="宋体"/>
          <w:szCs w:val="24"/>
        </w:rPr>
      </w:pPr>
      <w:r>
        <w:rPr>
          <w:rFonts w:hint="eastAsia" w:cs="宋体"/>
          <w:szCs w:val="24"/>
        </w:rPr>
        <w:t>2.中标方应提出在用户现场实施服务期间进行现场技术服务的具体工作内容，相关人员在现场除了应解答和解决由招标方提出的合同范围内的问题外，还应详细解答有关系统性能及运行注意事项等方面的问题。</w:t>
      </w:r>
    </w:p>
    <w:p w14:paraId="121758BD">
      <w:pPr>
        <w:spacing w:line="360" w:lineRule="auto"/>
        <w:ind w:firstLine="480"/>
        <w:rPr>
          <w:rFonts w:cs="宋体"/>
          <w:szCs w:val="24"/>
        </w:rPr>
      </w:pPr>
      <w:r>
        <w:rPr>
          <w:rFonts w:hint="eastAsia" w:cs="宋体"/>
          <w:szCs w:val="24"/>
        </w:rPr>
        <w:t>3.中标方应交付本项目所有形成知识产权的有形或无形物件，包括管理经验（需求文件）、设计成果（技术方案、应用方案、实施方案等）、软件产品（指项目实施中开发的应用软件，包括在投标人平台上开发的应用软件）等，具体内容由双方移交项目时以书面文件方式确认。</w:t>
      </w:r>
    </w:p>
    <w:p w14:paraId="24B41691">
      <w:pPr>
        <w:spacing w:line="360" w:lineRule="auto"/>
        <w:ind w:firstLine="480"/>
        <w:rPr>
          <w:rFonts w:cs="宋体"/>
          <w:szCs w:val="24"/>
        </w:rPr>
      </w:pPr>
      <w:r>
        <w:rPr>
          <w:rFonts w:hint="eastAsia" w:cs="宋体"/>
          <w:szCs w:val="24"/>
        </w:rPr>
        <w:t>4.中标方在项目达到阶段性验收条件时，应向招标方提交验收申请和详细的项目验收自评报告，逐项列举出项目成果和交付物与标书要求、双方达成的各种协议要求的符合度，并提交项目建设过程文档和相关资料。</w:t>
      </w:r>
    </w:p>
    <w:p w14:paraId="2BD2833B">
      <w:pPr>
        <w:spacing w:line="360" w:lineRule="auto"/>
        <w:ind w:firstLine="480"/>
      </w:pPr>
      <w:r>
        <w:rPr>
          <w:rFonts w:hint="eastAsia" w:cs="宋体"/>
          <w:szCs w:val="24"/>
        </w:rPr>
        <w:t>5中标方须免费提供现场培训，包括在项目实施期间的技术讲解、操作示范，确保招标人相关的受训人员对系统基本原理、技术特性、操作规范、运行规程、管理维护等方面获得全面了解和掌握，使受训人员能独立操作、维护、管理，从而使受训人员能独立进行管理、故障处理、日常测试维护等日常工作，确保系统能够正常稳定安全运行。</w:t>
      </w:r>
    </w:p>
    <w:p w14:paraId="46013E02">
      <w:pPr>
        <w:ind w:firstLine="480"/>
      </w:pPr>
    </w:p>
    <w:sectPr>
      <w:footerReference r:id="rId12" w:type="first"/>
      <w:footerReference r:id="rId11" w:type="default"/>
      <w:pgSz w:w="11906" w:h="16838"/>
      <w:pgMar w:top="1527" w:right="1134" w:bottom="1440" w:left="1797" w:header="426" w:footer="280" w:gutter="0"/>
      <w:pgNumType w:start="1"/>
      <w:cols w:space="720" w:num="1"/>
      <w:titlePg/>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文鼎细圆简">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A2057D">
    <w:pPr>
      <w:tabs>
        <w:tab w:val="center" w:pos="4153"/>
        <w:tab w:val="right" w:pos="8306"/>
      </w:tabs>
      <w:spacing w:before="48" w:after="72"/>
      <w:ind w:firstLine="480"/>
    </w:pPr>
  </w:p>
  <w:p w14:paraId="22B95E29">
    <w:pPr>
      <w:tabs>
        <w:tab w:val="center" w:pos="4153"/>
        <w:tab w:val="right" w:pos="8306"/>
      </w:tabs>
      <w:ind w:firstLine="4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7B6EA">
    <w:pPr>
      <w:pStyle w:val="1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F9AD19">
    <w:pPr>
      <w:pStyle w:val="1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80F3D0">
    <w:pPr>
      <w:tabs>
        <w:tab w:val="center" w:pos="4153"/>
        <w:tab w:val="right" w:pos="8306"/>
      </w:tabs>
      <w:spacing w:before="48" w:after="72"/>
      <w:ind w:firstLine="48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2F6F8E">
                          <w:pPr>
                            <w:pStyle w:val="15"/>
                            <w:ind w:firstLine="360"/>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332F6F8E">
                    <w:pPr>
                      <w:pStyle w:val="15"/>
                      <w:ind w:firstLine="360"/>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p w14:paraId="1F165CF7">
    <w:pPr>
      <w:tabs>
        <w:tab w:val="center" w:pos="4153"/>
        <w:tab w:val="right" w:pos="8306"/>
      </w:tabs>
      <w:ind w:firstLine="48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60FE94">
    <w:pPr>
      <w:pStyle w:val="15"/>
      <w:ind w:firstLine="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B5C131">
                          <w:pPr>
                            <w:pStyle w:val="15"/>
                            <w:ind w:firstLine="360"/>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4FB5C131">
                    <w:pPr>
                      <w:pStyle w:val="15"/>
                      <w:ind w:firstLine="360"/>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BAE65F">
    <w:pPr>
      <w:pBdr>
        <w:bottom w:val="single" w:color="auto" w:sz="4" w:space="1"/>
      </w:pBdr>
      <w:tabs>
        <w:tab w:val="center" w:pos="4153"/>
        <w:tab w:val="right" w:pos="8306"/>
      </w:tabs>
      <w:ind w:firstLine="48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804378">
    <w:pPr>
      <w:pStyle w:val="1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EE68EE">
    <w:pPr>
      <w:pStyle w:val="1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1C87D8"/>
    <w:multiLevelType w:val="singleLevel"/>
    <w:tmpl w:val="9C1C87D8"/>
    <w:lvl w:ilvl="0" w:tentative="0">
      <w:start w:val="1"/>
      <w:numFmt w:val="decimal"/>
      <w:lvlText w:val="%1)"/>
      <w:lvlJc w:val="left"/>
      <w:pPr>
        <w:tabs>
          <w:tab w:val="left" w:pos="420"/>
        </w:tabs>
        <w:ind w:left="845" w:hanging="425"/>
      </w:pPr>
      <w:rPr>
        <w:rFonts w:hint="default"/>
      </w:rPr>
    </w:lvl>
  </w:abstractNum>
  <w:abstractNum w:abstractNumId="1">
    <w:nsid w:val="9C98551E"/>
    <w:multiLevelType w:val="singleLevel"/>
    <w:tmpl w:val="9C98551E"/>
    <w:lvl w:ilvl="0" w:tentative="0">
      <w:start w:val="1"/>
      <w:numFmt w:val="decimal"/>
      <w:lvlText w:val="%1)"/>
      <w:lvlJc w:val="left"/>
      <w:pPr>
        <w:tabs>
          <w:tab w:val="left" w:pos="0"/>
        </w:tabs>
        <w:ind w:left="425" w:hanging="425"/>
      </w:pPr>
      <w:rPr>
        <w:rFonts w:hint="default"/>
      </w:rPr>
    </w:lvl>
  </w:abstractNum>
  <w:abstractNum w:abstractNumId="2">
    <w:nsid w:val="A4DA07B2"/>
    <w:multiLevelType w:val="singleLevel"/>
    <w:tmpl w:val="A4DA07B2"/>
    <w:lvl w:ilvl="0" w:tentative="0">
      <w:start w:val="1"/>
      <w:numFmt w:val="decimal"/>
      <w:lvlText w:val="%1)"/>
      <w:lvlJc w:val="left"/>
      <w:pPr>
        <w:tabs>
          <w:tab w:val="left" w:pos="420"/>
        </w:tabs>
        <w:ind w:left="845" w:hanging="425"/>
      </w:pPr>
      <w:rPr>
        <w:rFonts w:hint="default"/>
      </w:rPr>
    </w:lvl>
  </w:abstractNum>
  <w:abstractNum w:abstractNumId="3">
    <w:nsid w:val="B8973D6C"/>
    <w:multiLevelType w:val="singleLevel"/>
    <w:tmpl w:val="B8973D6C"/>
    <w:lvl w:ilvl="0" w:tentative="0">
      <w:start w:val="1"/>
      <w:numFmt w:val="decimal"/>
      <w:lvlText w:val="%1)"/>
      <w:lvlJc w:val="left"/>
      <w:pPr>
        <w:tabs>
          <w:tab w:val="left" w:pos="420"/>
        </w:tabs>
        <w:ind w:left="845" w:hanging="425"/>
      </w:pPr>
      <w:rPr>
        <w:rFonts w:hint="default"/>
      </w:rPr>
    </w:lvl>
  </w:abstractNum>
  <w:abstractNum w:abstractNumId="4">
    <w:nsid w:val="BDCB928C"/>
    <w:multiLevelType w:val="singleLevel"/>
    <w:tmpl w:val="BDCB928C"/>
    <w:lvl w:ilvl="0" w:tentative="0">
      <w:start w:val="1"/>
      <w:numFmt w:val="decimal"/>
      <w:lvlText w:val="%1)"/>
      <w:lvlJc w:val="left"/>
      <w:pPr>
        <w:tabs>
          <w:tab w:val="left" w:pos="0"/>
        </w:tabs>
        <w:ind w:left="425" w:hanging="425"/>
      </w:pPr>
      <w:rPr>
        <w:rFonts w:hint="default"/>
      </w:rPr>
    </w:lvl>
  </w:abstractNum>
  <w:abstractNum w:abstractNumId="5">
    <w:nsid w:val="E24B74DF"/>
    <w:multiLevelType w:val="singleLevel"/>
    <w:tmpl w:val="E24B74DF"/>
    <w:lvl w:ilvl="0" w:tentative="0">
      <w:start w:val="1"/>
      <w:numFmt w:val="decimal"/>
      <w:lvlText w:val="%1."/>
      <w:lvlJc w:val="left"/>
      <w:pPr>
        <w:tabs>
          <w:tab w:val="left" w:pos="312"/>
        </w:tabs>
      </w:pPr>
    </w:lvl>
  </w:abstractNum>
  <w:abstractNum w:abstractNumId="6">
    <w:nsid w:val="000B63B9"/>
    <w:multiLevelType w:val="singleLevel"/>
    <w:tmpl w:val="000B63B9"/>
    <w:lvl w:ilvl="0" w:tentative="0">
      <w:start w:val="1"/>
      <w:numFmt w:val="chineseCounting"/>
      <w:suff w:val="nothing"/>
      <w:lvlText w:val="（%1）"/>
      <w:lvlJc w:val="left"/>
      <w:pPr>
        <w:ind w:left="0" w:firstLine="420"/>
      </w:pPr>
      <w:rPr>
        <w:rFonts w:hint="eastAsia"/>
      </w:rPr>
    </w:lvl>
  </w:abstractNum>
  <w:abstractNum w:abstractNumId="7">
    <w:nsid w:val="17FB5075"/>
    <w:multiLevelType w:val="singleLevel"/>
    <w:tmpl w:val="17FB5075"/>
    <w:lvl w:ilvl="0" w:tentative="0">
      <w:start w:val="1"/>
      <w:numFmt w:val="chineseCounting"/>
      <w:suff w:val="nothing"/>
      <w:lvlText w:val="（%1）"/>
      <w:lvlJc w:val="left"/>
      <w:pPr>
        <w:ind w:left="0" w:firstLine="420"/>
      </w:pPr>
      <w:rPr>
        <w:rFonts w:hint="eastAsia"/>
      </w:rPr>
    </w:lvl>
  </w:abstractNum>
  <w:abstractNum w:abstractNumId="8">
    <w:nsid w:val="22289330"/>
    <w:multiLevelType w:val="singleLevel"/>
    <w:tmpl w:val="22289330"/>
    <w:lvl w:ilvl="0" w:tentative="0">
      <w:start w:val="1"/>
      <w:numFmt w:val="decimal"/>
      <w:lvlText w:val="%1)"/>
      <w:lvlJc w:val="left"/>
      <w:pPr>
        <w:tabs>
          <w:tab w:val="left" w:pos="0"/>
        </w:tabs>
        <w:ind w:left="425" w:hanging="425"/>
      </w:pPr>
      <w:rPr>
        <w:rFonts w:hint="default"/>
      </w:rPr>
    </w:lvl>
  </w:abstractNum>
  <w:abstractNum w:abstractNumId="9">
    <w:nsid w:val="279CB1F3"/>
    <w:multiLevelType w:val="singleLevel"/>
    <w:tmpl w:val="279CB1F3"/>
    <w:lvl w:ilvl="0" w:tentative="0">
      <w:start w:val="1"/>
      <w:numFmt w:val="decimal"/>
      <w:lvlText w:val="%1)"/>
      <w:lvlJc w:val="left"/>
      <w:pPr>
        <w:tabs>
          <w:tab w:val="left" w:pos="0"/>
        </w:tabs>
        <w:ind w:left="425" w:hanging="425"/>
      </w:pPr>
      <w:rPr>
        <w:rFonts w:hint="default"/>
      </w:rPr>
    </w:lvl>
  </w:abstractNum>
  <w:abstractNum w:abstractNumId="10">
    <w:nsid w:val="2B7E0575"/>
    <w:multiLevelType w:val="singleLevel"/>
    <w:tmpl w:val="2B7E0575"/>
    <w:lvl w:ilvl="0" w:tentative="0">
      <w:start w:val="1"/>
      <w:numFmt w:val="decimal"/>
      <w:suff w:val="nothing"/>
      <w:lvlText w:val="%1、"/>
      <w:lvlJc w:val="left"/>
    </w:lvl>
  </w:abstractNum>
  <w:abstractNum w:abstractNumId="11">
    <w:nsid w:val="2EF8DB32"/>
    <w:multiLevelType w:val="singleLevel"/>
    <w:tmpl w:val="2EF8DB32"/>
    <w:lvl w:ilvl="0" w:tentative="0">
      <w:start w:val="1"/>
      <w:numFmt w:val="decimal"/>
      <w:lvlText w:val="%1)"/>
      <w:lvlJc w:val="left"/>
      <w:pPr>
        <w:tabs>
          <w:tab w:val="left" w:pos="420"/>
        </w:tabs>
        <w:ind w:left="825" w:hanging="425"/>
      </w:pPr>
      <w:rPr>
        <w:rFonts w:hint="default"/>
      </w:rPr>
    </w:lvl>
  </w:abstractNum>
  <w:abstractNum w:abstractNumId="12">
    <w:nsid w:val="392A2F0D"/>
    <w:multiLevelType w:val="multilevel"/>
    <w:tmpl w:val="392A2F0D"/>
    <w:lvl w:ilvl="0" w:tentative="0">
      <w:start w:val="1"/>
      <w:numFmt w:val="decimal"/>
      <w:lvlText w:val="%1."/>
      <w:lvlJc w:val="left"/>
      <w:pPr>
        <w:ind w:left="840" w:hanging="360"/>
      </w:pPr>
      <w:rPr>
        <w:rFonts w:hint="default"/>
      </w:rPr>
    </w:lvl>
    <w:lvl w:ilvl="1" w:tentative="0">
      <w:start w:val="1"/>
      <w:numFmt w:val="lowerLetter"/>
      <w:lvlText w:val="%2."/>
      <w:lvlJc w:val="left"/>
      <w:pPr>
        <w:ind w:left="1560" w:hanging="360"/>
      </w:pPr>
    </w:lvl>
    <w:lvl w:ilvl="2" w:tentative="0">
      <w:start w:val="1"/>
      <w:numFmt w:val="lowerRoman"/>
      <w:lvlText w:val="%3."/>
      <w:lvlJc w:val="right"/>
      <w:pPr>
        <w:ind w:left="2280" w:hanging="180"/>
      </w:pPr>
    </w:lvl>
    <w:lvl w:ilvl="3" w:tentative="0">
      <w:start w:val="1"/>
      <w:numFmt w:val="decimal"/>
      <w:lvlText w:val="%4."/>
      <w:lvlJc w:val="left"/>
      <w:pPr>
        <w:ind w:left="3000" w:hanging="360"/>
      </w:pPr>
    </w:lvl>
    <w:lvl w:ilvl="4" w:tentative="0">
      <w:start w:val="1"/>
      <w:numFmt w:val="lowerLetter"/>
      <w:lvlText w:val="%5."/>
      <w:lvlJc w:val="left"/>
      <w:pPr>
        <w:ind w:left="3720" w:hanging="360"/>
      </w:pPr>
    </w:lvl>
    <w:lvl w:ilvl="5" w:tentative="0">
      <w:start w:val="1"/>
      <w:numFmt w:val="lowerRoman"/>
      <w:lvlText w:val="%6."/>
      <w:lvlJc w:val="right"/>
      <w:pPr>
        <w:ind w:left="4440" w:hanging="180"/>
      </w:pPr>
    </w:lvl>
    <w:lvl w:ilvl="6" w:tentative="0">
      <w:start w:val="1"/>
      <w:numFmt w:val="decimal"/>
      <w:lvlText w:val="%7."/>
      <w:lvlJc w:val="left"/>
      <w:pPr>
        <w:ind w:left="5160" w:hanging="360"/>
      </w:pPr>
    </w:lvl>
    <w:lvl w:ilvl="7" w:tentative="0">
      <w:start w:val="1"/>
      <w:numFmt w:val="lowerLetter"/>
      <w:lvlText w:val="%8."/>
      <w:lvlJc w:val="left"/>
      <w:pPr>
        <w:ind w:left="5880" w:hanging="360"/>
      </w:pPr>
    </w:lvl>
    <w:lvl w:ilvl="8" w:tentative="0">
      <w:start w:val="1"/>
      <w:numFmt w:val="lowerRoman"/>
      <w:lvlText w:val="%9."/>
      <w:lvlJc w:val="right"/>
      <w:pPr>
        <w:ind w:left="6600" w:hanging="180"/>
      </w:pPr>
    </w:lvl>
  </w:abstractNum>
  <w:abstractNum w:abstractNumId="13">
    <w:nsid w:val="639FE580"/>
    <w:multiLevelType w:val="singleLevel"/>
    <w:tmpl w:val="639FE580"/>
    <w:lvl w:ilvl="0" w:tentative="0">
      <w:start w:val="1"/>
      <w:numFmt w:val="chineseCounting"/>
      <w:suff w:val="nothing"/>
      <w:lvlText w:val="（%1）"/>
      <w:lvlJc w:val="left"/>
      <w:pPr>
        <w:ind w:left="0" w:firstLine="420"/>
      </w:pPr>
      <w:rPr>
        <w:rFonts w:hint="eastAsia"/>
      </w:rPr>
    </w:lvl>
  </w:abstractNum>
  <w:abstractNum w:abstractNumId="14">
    <w:nsid w:val="6A0E316F"/>
    <w:multiLevelType w:val="singleLevel"/>
    <w:tmpl w:val="6A0E316F"/>
    <w:lvl w:ilvl="0" w:tentative="0">
      <w:start w:val="1"/>
      <w:numFmt w:val="decimal"/>
      <w:lvlText w:val="%1)"/>
      <w:lvlJc w:val="left"/>
      <w:pPr>
        <w:tabs>
          <w:tab w:val="left" w:pos="420"/>
        </w:tabs>
        <w:ind w:left="845" w:hanging="425"/>
      </w:pPr>
      <w:rPr>
        <w:rFonts w:hint="default"/>
      </w:rPr>
    </w:lvl>
  </w:abstractNum>
  <w:abstractNum w:abstractNumId="15">
    <w:nsid w:val="6C7E56B4"/>
    <w:multiLevelType w:val="singleLevel"/>
    <w:tmpl w:val="6C7E56B4"/>
    <w:lvl w:ilvl="0" w:tentative="0">
      <w:start w:val="1"/>
      <w:numFmt w:val="decimal"/>
      <w:lvlText w:val="%1)"/>
      <w:lvlJc w:val="left"/>
      <w:pPr>
        <w:tabs>
          <w:tab w:val="left" w:pos="420"/>
        </w:tabs>
        <w:ind w:left="845" w:hanging="425"/>
      </w:pPr>
      <w:rPr>
        <w:rFonts w:hint="default"/>
      </w:rPr>
    </w:lvl>
  </w:abstractNum>
  <w:abstractNum w:abstractNumId="16">
    <w:nsid w:val="7017602E"/>
    <w:multiLevelType w:val="multilevel"/>
    <w:tmpl w:val="7017602E"/>
    <w:lvl w:ilvl="0" w:tentative="0">
      <w:start w:val="1"/>
      <w:numFmt w:val="bullet"/>
      <w:suff w:val="space"/>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7">
    <w:nsid w:val="725151C1"/>
    <w:multiLevelType w:val="multilevel"/>
    <w:tmpl w:val="725151C1"/>
    <w:lvl w:ilvl="0" w:tentative="0">
      <w:start w:val="1"/>
      <w:numFmt w:val="decimal"/>
      <w:lvlText w:val="%1."/>
      <w:lvlJc w:val="left"/>
      <w:pPr>
        <w:ind w:left="840" w:hanging="360"/>
      </w:pPr>
      <w:rPr>
        <w:rFonts w:hint="default"/>
      </w:rPr>
    </w:lvl>
    <w:lvl w:ilvl="1" w:tentative="0">
      <w:start w:val="1"/>
      <w:numFmt w:val="lowerLetter"/>
      <w:lvlText w:val="%2."/>
      <w:lvlJc w:val="left"/>
      <w:pPr>
        <w:ind w:left="1560" w:hanging="360"/>
      </w:pPr>
    </w:lvl>
    <w:lvl w:ilvl="2" w:tentative="0">
      <w:start w:val="1"/>
      <w:numFmt w:val="lowerRoman"/>
      <w:lvlText w:val="%3."/>
      <w:lvlJc w:val="right"/>
      <w:pPr>
        <w:ind w:left="2280" w:hanging="180"/>
      </w:pPr>
    </w:lvl>
    <w:lvl w:ilvl="3" w:tentative="0">
      <w:start w:val="1"/>
      <w:numFmt w:val="decimal"/>
      <w:lvlText w:val="%4."/>
      <w:lvlJc w:val="left"/>
      <w:pPr>
        <w:ind w:left="3000" w:hanging="360"/>
      </w:pPr>
    </w:lvl>
    <w:lvl w:ilvl="4" w:tentative="0">
      <w:start w:val="1"/>
      <w:numFmt w:val="lowerLetter"/>
      <w:lvlText w:val="%5."/>
      <w:lvlJc w:val="left"/>
      <w:pPr>
        <w:ind w:left="3720" w:hanging="360"/>
      </w:pPr>
    </w:lvl>
    <w:lvl w:ilvl="5" w:tentative="0">
      <w:start w:val="1"/>
      <w:numFmt w:val="lowerRoman"/>
      <w:lvlText w:val="%6."/>
      <w:lvlJc w:val="right"/>
      <w:pPr>
        <w:ind w:left="4440" w:hanging="180"/>
      </w:pPr>
    </w:lvl>
    <w:lvl w:ilvl="6" w:tentative="0">
      <w:start w:val="1"/>
      <w:numFmt w:val="decimal"/>
      <w:lvlText w:val="%7."/>
      <w:lvlJc w:val="left"/>
      <w:pPr>
        <w:ind w:left="5160" w:hanging="360"/>
      </w:pPr>
    </w:lvl>
    <w:lvl w:ilvl="7" w:tentative="0">
      <w:start w:val="1"/>
      <w:numFmt w:val="lowerLetter"/>
      <w:lvlText w:val="%8."/>
      <w:lvlJc w:val="left"/>
      <w:pPr>
        <w:ind w:left="5880" w:hanging="360"/>
      </w:pPr>
    </w:lvl>
    <w:lvl w:ilvl="8" w:tentative="0">
      <w:start w:val="1"/>
      <w:numFmt w:val="lowerRoman"/>
      <w:lvlText w:val="%9."/>
      <w:lvlJc w:val="right"/>
      <w:pPr>
        <w:ind w:left="6600" w:hanging="180"/>
      </w:pPr>
    </w:lvl>
  </w:abstractNum>
  <w:abstractNum w:abstractNumId="18">
    <w:nsid w:val="76AB1AE2"/>
    <w:multiLevelType w:val="singleLevel"/>
    <w:tmpl w:val="76AB1AE2"/>
    <w:lvl w:ilvl="0" w:tentative="0">
      <w:start w:val="1"/>
      <w:numFmt w:val="decimalEnclosedCircleChinese"/>
      <w:suff w:val="nothing"/>
      <w:lvlText w:val="%1　"/>
      <w:lvlJc w:val="left"/>
      <w:pPr>
        <w:ind w:left="420" w:firstLine="400"/>
      </w:pPr>
      <w:rPr>
        <w:rFonts w:hint="eastAsia"/>
      </w:rPr>
    </w:lvl>
  </w:abstractNum>
  <w:abstractNum w:abstractNumId="19">
    <w:nsid w:val="7E15AA75"/>
    <w:multiLevelType w:val="singleLevel"/>
    <w:tmpl w:val="7E15AA75"/>
    <w:lvl w:ilvl="0" w:tentative="0">
      <w:start w:val="1"/>
      <w:numFmt w:val="decimalEnclosedCircleChinese"/>
      <w:suff w:val="nothing"/>
      <w:lvlText w:val="%1　"/>
      <w:lvlJc w:val="left"/>
      <w:pPr>
        <w:ind w:left="420" w:firstLine="400"/>
      </w:pPr>
      <w:rPr>
        <w:rFonts w:hint="eastAsia"/>
      </w:rPr>
    </w:lvl>
  </w:abstractNum>
  <w:num w:numId="1">
    <w:abstractNumId w:val="13"/>
  </w:num>
  <w:num w:numId="2">
    <w:abstractNumId w:val="10"/>
  </w:num>
  <w:num w:numId="3">
    <w:abstractNumId w:val="7"/>
  </w:num>
  <w:num w:numId="4">
    <w:abstractNumId w:val="6"/>
  </w:num>
  <w:num w:numId="5">
    <w:abstractNumId w:val="17"/>
  </w:num>
  <w:num w:numId="6">
    <w:abstractNumId w:val="5"/>
  </w:num>
  <w:num w:numId="7">
    <w:abstractNumId w:val="12"/>
  </w:num>
  <w:num w:numId="8">
    <w:abstractNumId w:val="9"/>
  </w:num>
  <w:num w:numId="9">
    <w:abstractNumId w:val="0"/>
  </w:num>
  <w:num w:numId="10">
    <w:abstractNumId w:val="18"/>
  </w:num>
  <w:num w:numId="11">
    <w:abstractNumId w:val="19"/>
  </w:num>
  <w:num w:numId="12">
    <w:abstractNumId w:val="8"/>
  </w:num>
  <w:num w:numId="13">
    <w:abstractNumId w:val="4"/>
  </w:num>
  <w:num w:numId="14">
    <w:abstractNumId w:val="1"/>
  </w:num>
  <w:num w:numId="15">
    <w:abstractNumId w:val="3"/>
  </w:num>
  <w:num w:numId="16">
    <w:abstractNumId w:val="15"/>
  </w:num>
  <w:num w:numId="17">
    <w:abstractNumId w:val="2"/>
  </w:num>
  <w:num w:numId="18">
    <w:abstractNumId w:val="14"/>
  </w:num>
  <w:num w:numId="19">
    <w:abstractNumId w:val="11"/>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6913"/>
    <w:rsid w:val="00056317"/>
    <w:rsid w:val="00094B76"/>
    <w:rsid w:val="001B3485"/>
    <w:rsid w:val="001B5CA3"/>
    <w:rsid w:val="00313FF9"/>
    <w:rsid w:val="00425BF6"/>
    <w:rsid w:val="004754AF"/>
    <w:rsid w:val="004769AF"/>
    <w:rsid w:val="004A2E61"/>
    <w:rsid w:val="004C6AEA"/>
    <w:rsid w:val="005A5D4E"/>
    <w:rsid w:val="0069356F"/>
    <w:rsid w:val="006A09BB"/>
    <w:rsid w:val="0072021A"/>
    <w:rsid w:val="007B62EC"/>
    <w:rsid w:val="00887485"/>
    <w:rsid w:val="008E6E94"/>
    <w:rsid w:val="00A92211"/>
    <w:rsid w:val="00C35C98"/>
    <w:rsid w:val="00C6696A"/>
    <w:rsid w:val="00CC25A7"/>
    <w:rsid w:val="00CD6913"/>
    <w:rsid w:val="00CF6803"/>
    <w:rsid w:val="00DF0C68"/>
    <w:rsid w:val="00EB4C16"/>
    <w:rsid w:val="00EF7CB4"/>
    <w:rsid w:val="046F4CCA"/>
    <w:rsid w:val="0624160D"/>
    <w:rsid w:val="06684819"/>
    <w:rsid w:val="087B04F8"/>
    <w:rsid w:val="0D127121"/>
    <w:rsid w:val="173760C4"/>
    <w:rsid w:val="1AB91B00"/>
    <w:rsid w:val="2B8F6F50"/>
    <w:rsid w:val="2EDF4526"/>
    <w:rsid w:val="358A2568"/>
    <w:rsid w:val="3E2E128D"/>
    <w:rsid w:val="41345F1E"/>
    <w:rsid w:val="42B96A55"/>
    <w:rsid w:val="494866A0"/>
    <w:rsid w:val="527B4904"/>
    <w:rsid w:val="5A662214"/>
    <w:rsid w:val="5C146193"/>
    <w:rsid w:val="5CBA4019"/>
    <w:rsid w:val="5FC14F43"/>
    <w:rsid w:val="5FF86001"/>
    <w:rsid w:val="66831DAF"/>
    <w:rsid w:val="66B25007"/>
    <w:rsid w:val="74E50345"/>
    <w:rsid w:val="74FC2209"/>
    <w:rsid w:val="7D4A6A6B"/>
    <w:rsid w:val="7DD521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semiHidden="0" w:name="heading 4"/>
    <w:lsdException w:qFormat="1"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qFormat="1" w:uiPriority="99" w:name="Quote"/>
    <w:lsdException w:qFormat="1" w:uiPriority="99"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560" w:firstLineChars="200"/>
      <w:jc w:val="both"/>
    </w:pPr>
    <w:rPr>
      <w:rFonts w:ascii="宋体" w:hAnsi="宋体" w:eastAsia="宋体" w:cs="Times New Roman"/>
      <w:sz w:val="24"/>
      <w:lang w:val="en-US" w:eastAsia="zh-CN" w:bidi="ar-SA"/>
    </w:rPr>
  </w:style>
  <w:style w:type="paragraph" w:styleId="2">
    <w:name w:val="heading 1"/>
    <w:basedOn w:val="1"/>
    <w:next w:val="1"/>
    <w:link w:val="34"/>
    <w:autoRedefine/>
    <w:qFormat/>
    <w:uiPriority w:val="0"/>
    <w:pPr>
      <w:tabs>
        <w:tab w:val="left" w:pos="720"/>
      </w:tabs>
      <w:adjustRightInd w:val="0"/>
      <w:spacing w:before="156" w:beforeLines="50" w:after="120"/>
      <w:textAlignment w:val="baseline"/>
      <w:outlineLvl w:val="0"/>
    </w:pPr>
    <w:rPr>
      <w:b/>
      <w:bCs/>
      <w:sz w:val="28"/>
    </w:rPr>
  </w:style>
  <w:style w:type="paragraph" w:styleId="3">
    <w:name w:val="heading 2"/>
    <w:basedOn w:val="1"/>
    <w:next w:val="1"/>
    <w:link w:val="35"/>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4"/>
    <w:unhideWhenUsed/>
    <w:qFormat/>
    <w:uiPriority w:val="9"/>
    <w:pPr>
      <w:keepNext/>
      <w:keepLines/>
      <w:spacing w:before="160" w:after="80"/>
      <w:outlineLvl w:val="2"/>
    </w:pPr>
    <w:rPr>
      <w:rFonts w:asciiTheme="majorHAnsi" w:hAnsiTheme="majorHAnsi" w:eastAsiaTheme="majorEastAsia" w:cstheme="majorBidi"/>
      <w:color w:val="2E75B6" w:themeColor="accent1" w:themeShade="BF"/>
      <w:sz w:val="32"/>
      <w:szCs w:val="32"/>
    </w:rPr>
  </w:style>
  <w:style w:type="paragraph" w:styleId="5">
    <w:name w:val="heading 4"/>
    <w:basedOn w:val="1"/>
    <w:next w:val="1"/>
    <w:link w:val="45"/>
    <w:unhideWhenUsed/>
    <w:qFormat/>
    <w:uiPriority w:val="0"/>
    <w:pPr>
      <w:keepNext/>
      <w:keepLines/>
      <w:spacing w:before="80" w:after="40"/>
      <w:outlineLvl w:val="3"/>
    </w:pPr>
    <w:rPr>
      <w:rFonts w:asciiTheme="minorHAnsi" w:hAnsiTheme="minorHAnsi" w:eastAsiaTheme="minorEastAsia" w:cstheme="majorBidi"/>
      <w:color w:val="2E75B6" w:themeColor="accent1" w:themeShade="BF"/>
      <w:sz w:val="28"/>
      <w:szCs w:val="28"/>
    </w:rPr>
  </w:style>
  <w:style w:type="paragraph" w:styleId="6">
    <w:name w:val="heading 5"/>
    <w:basedOn w:val="1"/>
    <w:next w:val="1"/>
    <w:link w:val="46"/>
    <w:unhideWhenUsed/>
    <w:qFormat/>
    <w:uiPriority w:val="0"/>
    <w:pPr>
      <w:keepNext/>
      <w:keepLines/>
      <w:spacing w:before="80" w:after="40"/>
      <w:outlineLvl w:val="4"/>
    </w:pPr>
    <w:rPr>
      <w:rFonts w:asciiTheme="minorHAnsi" w:hAnsiTheme="minorHAnsi" w:eastAsiaTheme="minorEastAsia" w:cstheme="majorBidi"/>
      <w:color w:val="2E75B6" w:themeColor="accent1" w:themeShade="BF"/>
      <w:szCs w:val="24"/>
    </w:rPr>
  </w:style>
  <w:style w:type="paragraph" w:styleId="7">
    <w:name w:val="heading 6"/>
    <w:basedOn w:val="1"/>
    <w:next w:val="1"/>
    <w:link w:val="47"/>
    <w:semiHidden/>
    <w:unhideWhenUsed/>
    <w:qFormat/>
    <w:uiPriority w:val="9"/>
    <w:pPr>
      <w:keepNext/>
      <w:keepLines/>
      <w:spacing w:before="40"/>
      <w:outlineLvl w:val="5"/>
    </w:pPr>
    <w:rPr>
      <w:rFonts w:asciiTheme="minorHAnsi" w:hAnsiTheme="minorHAnsi" w:eastAsiaTheme="minorEastAsia" w:cstheme="majorBidi"/>
      <w:b/>
      <w:bCs/>
      <w:color w:val="2E75B6" w:themeColor="accent1" w:themeShade="BF"/>
    </w:rPr>
  </w:style>
  <w:style w:type="paragraph" w:styleId="8">
    <w:name w:val="heading 7"/>
    <w:basedOn w:val="1"/>
    <w:next w:val="1"/>
    <w:link w:val="48"/>
    <w:semiHidden/>
    <w:unhideWhenUsed/>
    <w:qFormat/>
    <w:uiPriority w:val="9"/>
    <w:pPr>
      <w:keepNext/>
      <w:keepLines/>
      <w:spacing w:before="40"/>
      <w:outlineLvl w:val="6"/>
    </w:pPr>
    <w:rPr>
      <w:rFonts w:asciiTheme="minorHAnsi" w:hAnsiTheme="minorHAnsi" w:eastAsiaTheme="minorEastAsia"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49"/>
    <w:semiHidden/>
    <w:unhideWhenUsed/>
    <w:qFormat/>
    <w:uiPriority w:val="9"/>
    <w:pPr>
      <w:keepNext/>
      <w:keepLines/>
      <w:outlineLvl w:val="7"/>
    </w:pPr>
    <w:rPr>
      <w:rFonts w:asciiTheme="minorHAnsi" w:hAnsiTheme="minorHAnsi" w:eastAsiaTheme="minorEastAsia"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50"/>
    <w:semiHidden/>
    <w:unhideWhenUsed/>
    <w:qFormat/>
    <w:uiPriority w:val="9"/>
    <w:pPr>
      <w:keepNext/>
      <w:keepLines/>
      <w:outlineLvl w:val="8"/>
    </w:pPr>
    <w:rPr>
      <w:rFonts w:asciiTheme="minorHAnsi" w:hAnsiTheme="minorHAnsi" w:eastAsiaTheme="majorEastAsia" w:cstheme="majorBidi"/>
      <w:color w:val="595959" w:themeColor="text1" w:themeTint="A6"/>
      <w14:textFill>
        <w14:solidFill>
          <w14:schemeClr w14:val="tx1">
            <w14:lumMod w14:val="65000"/>
            <w14:lumOff w14:val="35000"/>
          </w14:schemeClr>
        </w14:solidFill>
      </w14:textFill>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6"/>
    <w:autoRedefine/>
    <w:unhideWhenUsed/>
    <w:qFormat/>
    <w:uiPriority w:val="0"/>
    <w:pPr>
      <w:autoSpaceDE w:val="0"/>
      <w:autoSpaceDN w:val="0"/>
      <w:spacing w:line="259" w:lineRule="auto"/>
      <w:jc w:val="left"/>
    </w:pPr>
    <w:rPr>
      <w:sz w:val="22"/>
      <w:szCs w:val="22"/>
      <w:lang w:val="zh-CN" w:bidi="zh-CN"/>
    </w:rPr>
  </w:style>
  <w:style w:type="paragraph" w:styleId="12">
    <w:name w:val="Body Text"/>
    <w:basedOn w:val="1"/>
    <w:link w:val="39"/>
    <w:unhideWhenUsed/>
    <w:qFormat/>
    <w:uiPriority w:val="0"/>
    <w:pPr>
      <w:spacing w:after="120"/>
    </w:pPr>
  </w:style>
  <w:style w:type="paragraph" w:styleId="13">
    <w:name w:val="toc 3"/>
    <w:basedOn w:val="1"/>
    <w:next w:val="1"/>
    <w:qFormat/>
    <w:uiPriority w:val="0"/>
    <w:pPr>
      <w:ind w:left="840" w:leftChars="400"/>
    </w:pPr>
  </w:style>
  <w:style w:type="paragraph" w:styleId="14">
    <w:name w:val="Plain Text"/>
    <w:basedOn w:val="1"/>
    <w:link w:val="42"/>
    <w:autoRedefine/>
    <w:qFormat/>
    <w:uiPriority w:val="0"/>
    <w:rPr>
      <w:rFonts w:hAnsi="Courier New"/>
    </w:rPr>
  </w:style>
  <w:style w:type="paragraph" w:styleId="15">
    <w:name w:val="footer"/>
    <w:basedOn w:val="1"/>
    <w:link w:val="38"/>
    <w:autoRedefine/>
    <w:unhideWhenUsed/>
    <w:qFormat/>
    <w:uiPriority w:val="0"/>
    <w:pPr>
      <w:tabs>
        <w:tab w:val="center" w:pos="4153"/>
        <w:tab w:val="right" w:pos="8306"/>
      </w:tabs>
      <w:snapToGrid w:val="0"/>
      <w:jc w:val="left"/>
    </w:pPr>
    <w:rPr>
      <w:sz w:val="18"/>
      <w:szCs w:val="18"/>
    </w:rPr>
  </w:style>
  <w:style w:type="paragraph" w:styleId="16">
    <w:name w:val="header"/>
    <w:basedOn w:val="1"/>
    <w:link w:val="37"/>
    <w:autoRedefine/>
    <w:unhideWhenUsed/>
    <w:qFormat/>
    <w:uiPriority w:val="0"/>
    <w:pPr>
      <w:pBdr>
        <w:bottom w:val="single" w:color="auto" w:sz="6" w:space="1"/>
      </w:pBdr>
      <w:tabs>
        <w:tab w:val="center" w:pos="4153"/>
        <w:tab w:val="right" w:pos="8306"/>
      </w:tabs>
      <w:snapToGrid w:val="0"/>
    </w:pPr>
    <w:rPr>
      <w:sz w:val="18"/>
      <w:szCs w:val="18"/>
    </w:rPr>
  </w:style>
  <w:style w:type="paragraph" w:styleId="17">
    <w:name w:val="toc 1"/>
    <w:basedOn w:val="1"/>
    <w:next w:val="1"/>
    <w:qFormat/>
    <w:uiPriority w:val="0"/>
  </w:style>
  <w:style w:type="paragraph" w:styleId="18">
    <w:name w:val="toc 4"/>
    <w:basedOn w:val="1"/>
    <w:next w:val="1"/>
    <w:qFormat/>
    <w:uiPriority w:val="0"/>
    <w:pPr>
      <w:ind w:left="1260" w:leftChars="600"/>
    </w:pPr>
  </w:style>
  <w:style w:type="paragraph" w:styleId="19">
    <w:name w:val="Subtitle"/>
    <w:basedOn w:val="1"/>
    <w:next w:val="1"/>
    <w:link w:val="40"/>
    <w:autoRedefine/>
    <w:qFormat/>
    <w:uiPriority w:val="0"/>
    <w:pPr>
      <w:spacing w:before="240" w:after="60" w:line="312" w:lineRule="auto"/>
      <w:outlineLvl w:val="1"/>
    </w:pPr>
    <w:rPr>
      <w:rFonts w:asciiTheme="minorHAnsi" w:hAnsiTheme="minorHAnsi" w:eastAsiaTheme="minorEastAsia" w:cstheme="minorBidi"/>
      <w:b/>
      <w:bCs/>
      <w:kern w:val="28"/>
      <w:sz w:val="32"/>
      <w:szCs w:val="32"/>
    </w:rPr>
  </w:style>
  <w:style w:type="paragraph" w:styleId="20">
    <w:name w:val="toc 2"/>
    <w:basedOn w:val="1"/>
    <w:next w:val="1"/>
    <w:qFormat/>
    <w:uiPriority w:val="0"/>
    <w:pPr>
      <w:ind w:left="420" w:leftChars="200"/>
    </w:pPr>
  </w:style>
  <w:style w:type="paragraph" w:styleId="21">
    <w:name w:val="Normal (Web)"/>
    <w:basedOn w:val="1"/>
    <w:autoRedefine/>
    <w:qFormat/>
    <w:uiPriority w:val="0"/>
    <w:pPr>
      <w:autoSpaceDE w:val="0"/>
      <w:autoSpaceDN w:val="0"/>
      <w:spacing w:before="100" w:beforeAutospacing="1" w:after="100" w:afterAutospacing="1" w:line="259" w:lineRule="auto"/>
      <w:jc w:val="left"/>
    </w:pPr>
    <w:rPr>
      <w:rFonts w:ascii="Calibri" w:hAnsi="Calibri"/>
      <w:szCs w:val="22"/>
      <w:lang w:val="zh-CN" w:bidi="zh-CN"/>
    </w:rPr>
  </w:style>
  <w:style w:type="paragraph" w:styleId="22">
    <w:name w:val="Title"/>
    <w:basedOn w:val="1"/>
    <w:next w:val="1"/>
    <w:link w:val="51"/>
    <w:qFormat/>
    <w:uiPriority w:val="10"/>
    <w:pPr>
      <w:spacing w:after="80"/>
      <w:contextualSpacing/>
    </w:pPr>
    <w:rPr>
      <w:rFonts w:asciiTheme="majorHAnsi" w:hAnsiTheme="majorHAnsi" w:eastAsiaTheme="majorEastAsia" w:cstheme="majorBidi"/>
      <w:spacing w:val="-10"/>
      <w:kern w:val="28"/>
      <w:sz w:val="56"/>
      <w:szCs w:val="56"/>
    </w:rPr>
  </w:style>
  <w:style w:type="paragraph" w:styleId="23">
    <w:name w:val="Body Text First Indent"/>
    <w:basedOn w:val="1"/>
    <w:link w:val="41"/>
    <w:autoRedefine/>
    <w:qFormat/>
    <w:uiPriority w:val="99"/>
    <w:pPr>
      <w:autoSpaceDE w:val="0"/>
      <w:autoSpaceDN w:val="0"/>
      <w:spacing w:before="100" w:beforeAutospacing="1" w:line="259" w:lineRule="auto"/>
      <w:ind w:firstLine="498"/>
      <w:jc w:val="left"/>
    </w:pPr>
    <w:rPr>
      <w:rFonts w:eastAsia="仿宋"/>
      <w:sz w:val="28"/>
      <w:szCs w:val="28"/>
      <w:lang w:val="zh-CN" w:bidi="zh-CN"/>
    </w:rPr>
  </w:style>
  <w:style w:type="table" w:styleId="25">
    <w:name w:val="Table Grid"/>
    <w:basedOn w:val="2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basedOn w:val="26"/>
    <w:autoRedefine/>
    <w:qFormat/>
    <w:uiPriority w:val="22"/>
    <w:rPr>
      <w:b/>
    </w:rPr>
  </w:style>
  <w:style w:type="character" w:styleId="28">
    <w:name w:val="page number"/>
    <w:basedOn w:val="26"/>
    <w:autoRedefine/>
    <w:qFormat/>
    <w:uiPriority w:val="0"/>
  </w:style>
  <w:style w:type="character" w:styleId="29">
    <w:name w:val="Hyperlink"/>
    <w:basedOn w:val="26"/>
    <w:autoRedefine/>
    <w:unhideWhenUsed/>
    <w:qFormat/>
    <w:uiPriority w:val="99"/>
    <w:rPr>
      <w:color w:val="0000FF"/>
      <w:u w:val="single"/>
    </w:rPr>
  </w:style>
  <w:style w:type="character" w:styleId="30">
    <w:name w:val="annotation reference"/>
    <w:basedOn w:val="26"/>
    <w:autoRedefine/>
    <w:unhideWhenUsed/>
    <w:qFormat/>
    <w:uiPriority w:val="0"/>
    <w:rPr>
      <w:sz w:val="21"/>
      <w:szCs w:val="21"/>
    </w:rPr>
  </w:style>
  <w:style w:type="character" w:customStyle="1" w:styleId="31">
    <w:name w:val="Char Char"/>
    <w:autoRedefine/>
    <w:qFormat/>
    <w:uiPriority w:val="0"/>
    <w:rPr>
      <w:rFonts w:ascii="Arial" w:hAnsi="Arial" w:eastAsia="黑体"/>
      <w:b/>
      <w:kern w:val="2"/>
      <w:sz w:val="32"/>
      <w:lang w:val="en-US" w:eastAsia="zh-CN" w:bidi="ar-SA"/>
    </w:rPr>
  </w:style>
  <w:style w:type="paragraph" w:customStyle="1" w:styleId="32">
    <w:name w:val="列表段落1"/>
    <w:basedOn w:val="1"/>
    <w:autoRedefine/>
    <w:qFormat/>
    <w:uiPriority w:val="34"/>
    <w:pPr>
      <w:widowControl/>
      <w:spacing w:line="360" w:lineRule="auto"/>
      <w:ind w:firstLine="420"/>
    </w:pPr>
    <w:rPr>
      <w:rFonts w:cstheme="minorBidi"/>
      <w:szCs w:val="22"/>
    </w:rPr>
  </w:style>
  <w:style w:type="table" w:customStyle="1" w:styleId="33">
    <w:name w:val="Table Normal1"/>
    <w:autoRedefine/>
    <w:qFormat/>
    <w:uiPriority w:val="0"/>
    <w:tblPr>
      <w:tblCellMar>
        <w:top w:w="0" w:type="dxa"/>
        <w:left w:w="0" w:type="dxa"/>
        <w:bottom w:w="0" w:type="dxa"/>
        <w:right w:w="0" w:type="dxa"/>
      </w:tblCellMar>
    </w:tblPr>
  </w:style>
  <w:style w:type="character" w:customStyle="1" w:styleId="34">
    <w:name w:val="Heading 1 Char"/>
    <w:basedOn w:val="26"/>
    <w:link w:val="2"/>
    <w:autoRedefine/>
    <w:qFormat/>
    <w:uiPriority w:val="0"/>
    <w:rPr>
      <w:rFonts w:ascii="宋体" w:hAnsi="宋体" w:eastAsia="宋体" w:cs="宋体"/>
      <w:kern w:val="0"/>
      <w:sz w:val="28"/>
      <w:szCs w:val="24"/>
    </w:rPr>
  </w:style>
  <w:style w:type="character" w:customStyle="1" w:styleId="35">
    <w:name w:val="Heading 2 Char"/>
    <w:basedOn w:val="26"/>
    <w:link w:val="3"/>
    <w:autoRedefine/>
    <w:qFormat/>
    <w:uiPriority w:val="9"/>
    <w:rPr>
      <w:rFonts w:asciiTheme="majorHAnsi" w:hAnsiTheme="majorHAnsi" w:eastAsiaTheme="majorEastAsia" w:cstheme="majorBidi"/>
      <w:sz w:val="32"/>
      <w:szCs w:val="32"/>
    </w:rPr>
  </w:style>
  <w:style w:type="character" w:customStyle="1" w:styleId="36">
    <w:name w:val="Comment Text Char"/>
    <w:basedOn w:val="26"/>
    <w:link w:val="11"/>
    <w:autoRedefine/>
    <w:qFormat/>
    <w:uiPriority w:val="0"/>
    <w:rPr>
      <w:rFonts w:ascii="宋体" w:hAnsi="宋体" w:eastAsia="宋体" w:cs="宋体"/>
      <w:b/>
      <w:bCs/>
      <w:kern w:val="0"/>
      <w:sz w:val="22"/>
      <w:szCs w:val="22"/>
      <w:lang w:val="zh-CN" w:bidi="zh-CN"/>
    </w:rPr>
  </w:style>
  <w:style w:type="character" w:customStyle="1" w:styleId="37">
    <w:name w:val="Header Char"/>
    <w:basedOn w:val="26"/>
    <w:link w:val="16"/>
    <w:autoRedefine/>
    <w:qFormat/>
    <w:uiPriority w:val="0"/>
    <w:rPr>
      <w:rFonts w:ascii="宋体" w:hAnsi="宋体" w:eastAsia="宋体" w:cs="宋体"/>
      <w:b/>
      <w:bCs/>
      <w:sz w:val="18"/>
      <w:szCs w:val="18"/>
    </w:rPr>
  </w:style>
  <w:style w:type="character" w:customStyle="1" w:styleId="38">
    <w:name w:val="Footer Char"/>
    <w:basedOn w:val="26"/>
    <w:link w:val="15"/>
    <w:autoRedefine/>
    <w:qFormat/>
    <w:uiPriority w:val="0"/>
    <w:rPr>
      <w:rFonts w:ascii="宋体" w:hAnsi="宋体" w:eastAsia="宋体" w:cs="宋体"/>
      <w:b/>
      <w:bCs/>
      <w:sz w:val="18"/>
      <w:szCs w:val="18"/>
    </w:rPr>
  </w:style>
  <w:style w:type="character" w:customStyle="1" w:styleId="39">
    <w:name w:val="Body Text Char"/>
    <w:basedOn w:val="26"/>
    <w:link w:val="12"/>
    <w:qFormat/>
    <w:uiPriority w:val="0"/>
    <w:rPr>
      <w:rFonts w:ascii="宋体" w:hAnsi="宋体" w:eastAsia="宋体" w:cs="宋体"/>
      <w:b/>
      <w:bCs/>
      <w:sz w:val="24"/>
      <w:szCs w:val="24"/>
    </w:rPr>
  </w:style>
  <w:style w:type="character" w:customStyle="1" w:styleId="40">
    <w:name w:val="Subtitle Char"/>
    <w:basedOn w:val="26"/>
    <w:link w:val="19"/>
    <w:autoRedefine/>
    <w:qFormat/>
    <w:uiPriority w:val="0"/>
    <w:rPr>
      <w:kern w:val="28"/>
      <w:sz w:val="32"/>
      <w:szCs w:val="32"/>
    </w:rPr>
  </w:style>
  <w:style w:type="character" w:customStyle="1" w:styleId="41">
    <w:name w:val="Body Text First Indent Char"/>
    <w:basedOn w:val="26"/>
    <w:link w:val="23"/>
    <w:autoRedefine/>
    <w:qFormat/>
    <w:uiPriority w:val="99"/>
    <w:rPr>
      <w:rFonts w:ascii="宋体" w:hAnsi="宋体" w:eastAsia="仿宋" w:cs="宋体"/>
      <w:b/>
      <w:bCs/>
      <w:kern w:val="0"/>
      <w:sz w:val="28"/>
      <w:szCs w:val="28"/>
      <w:lang w:val="zh-CN" w:bidi="zh-CN"/>
    </w:rPr>
  </w:style>
  <w:style w:type="character" w:customStyle="1" w:styleId="42">
    <w:name w:val="Plain Text Char"/>
    <w:basedOn w:val="26"/>
    <w:link w:val="14"/>
    <w:autoRedefine/>
    <w:qFormat/>
    <w:uiPriority w:val="0"/>
    <w:rPr>
      <w:rFonts w:ascii="宋体" w:hAnsi="Courier New" w:eastAsia="宋体" w:cs="宋体"/>
      <w:b/>
      <w:bCs/>
      <w:sz w:val="24"/>
      <w:szCs w:val="20"/>
    </w:rPr>
  </w:style>
  <w:style w:type="paragraph" w:styleId="43">
    <w:name w:val="List Paragraph"/>
    <w:basedOn w:val="1"/>
    <w:unhideWhenUsed/>
    <w:qFormat/>
    <w:uiPriority w:val="34"/>
    <w:pPr>
      <w:ind w:firstLine="420"/>
    </w:pPr>
  </w:style>
  <w:style w:type="character" w:customStyle="1" w:styleId="44">
    <w:name w:val="Heading 3 Char"/>
    <w:basedOn w:val="26"/>
    <w:link w:val="4"/>
    <w:semiHidden/>
    <w:qFormat/>
    <w:uiPriority w:val="9"/>
    <w:rPr>
      <w:rFonts w:asciiTheme="majorHAnsi" w:hAnsiTheme="majorHAnsi" w:eastAsiaTheme="majorEastAsia" w:cstheme="majorBidi"/>
      <w:color w:val="2E75B6" w:themeColor="accent1" w:themeShade="BF"/>
      <w:sz w:val="32"/>
      <w:szCs w:val="32"/>
    </w:rPr>
  </w:style>
  <w:style w:type="character" w:customStyle="1" w:styleId="45">
    <w:name w:val="Heading 4 Char"/>
    <w:basedOn w:val="26"/>
    <w:link w:val="5"/>
    <w:semiHidden/>
    <w:qFormat/>
    <w:uiPriority w:val="9"/>
    <w:rPr>
      <w:rFonts w:asciiTheme="minorHAnsi" w:hAnsiTheme="minorHAnsi" w:eastAsiaTheme="minorEastAsia" w:cstheme="majorBidi"/>
      <w:color w:val="2E75B6" w:themeColor="accent1" w:themeShade="BF"/>
      <w:sz w:val="28"/>
      <w:szCs w:val="28"/>
    </w:rPr>
  </w:style>
  <w:style w:type="character" w:customStyle="1" w:styleId="46">
    <w:name w:val="Heading 5 Char"/>
    <w:basedOn w:val="26"/>
    <w:link w:val="6"/>
    <w:qFormat/>
    <w:uiPriority w:val="0"/>
    <w:rPr>
      <w:rFonts w:asciiTheme="minorHAnsi" w:hAnsiTheme="minorHAnsi" w:eastAsiaTheme="minorEastAsia" w:cstheme="majorBidi"/>
      <w:color w:val="2E75B6" w:themeColor="accent1" w:themeShade="BF"/>
      <w:sz w:val="24"/>
      <w:szCs w:val="24"/>
    </w:rPr>
  </w:style>
  <w:style w:type="character" w:customStyle="1" w:styleId="47">
    <w:name w:val="Heading 6 Char"/>
    <w:basedOn w:val="26"/>
    <w:link w:val="7"/>
    <w:semiHidden/>
    <w:qFormat/>
    <w:uiPriority w:val="9"/>
    <w:rPr>
      <w:rFonts w:asciiTheme="minorHAnsi" w:hAnsiTheme="minorHAnsi" w:eastAsiaTheme="minorEastAsia" w:cstheme="majorBidi"/>
      <w:b/>
      <w:bCs/>
      <w:color w:val="2E75B6" w:themeColor="accent1" w:themeShade="BF"/>
    </w:rPr>
  </w:style>
  <w:style w:type="character" w:customStyle="1" w:styleId="48">
    <w:name w:val="Heading 7 Char"/>
    <w:basedOn w:val="26"/>
    <w:link w:val="8"/>
    <w:semiHidden/>
    <w:qFormat/>
    <w:uiPriority w:val="9"/>
    <w:rPr>
      <w:rFonts w:asciiTheme="minorHAnsi" w:hAnsiTheme="minorHAnsi" w:eastAsiaTheme="minorEastAsia" w:cstheme="majorBidi"/>
      <w:b/>
      <w:bCs/>
      <w:color w:val="595959" w:themeColor="text1" w:themeTint="A6"/>
      <w14:textFill>
        <w14:solidFill>
          <w14:schemeClr w14:val="tx1">
            <w14:lumMod w14:val="65000"/>
            <w14:lumOff w14:val="35000"/>
          </w14:schemeClr>
        </w14:solidFill>
      </w14:textFill>
    </w:rPr>
  </w:style>
  <w:style w:type="character" w:customStyle="1" w:styleId="49">
    <w:name w:val="Heading 8 Char"/>
    <w:basedOn w:val="26"/>
    <w:link w:val="9"/>
    <w:semiHidden/>
    <w:qFormat/>
    <w:uiPriority w:val="9"/>
    <w:rPr>
      <w:rFonts w:asciiTheme="minorHAnsi" w:hAnsiTheme="minorHAnsi" w:eastAsiaTheme="minorEastAsia" w:cstheme="majorBidi"/>
      <w:color w:val="595959" w:themeColor="text1" w:themeTint="A6"/>
      <w14:textFill>
        <w14:solidFill>
          <w14:schemeClr w14:val="tx1">
            <w14:lumMod w14:val="65000"/>
            <w14:lumOff w14:val="35000"/>
          </w14:schemeClr>
        </w14:solidFill>
      </w14:textFill>
    </w:rPr>
  </w:style>
  <w:style w:type="character" w:customStyle="1" w:styleId="50">
    <w:name w:val="Heading 9 Char"/>
    <w:basedOn w:val="26"/>
    <w:link w:val="10"/>
    <w:semiHidden/>
    <w:qFormat/>
    <w:uiPriority w:val="9"/>
    <w:rPr>
      <w:rFonts w:asciiTheme="minorHAnsi" w:hAnsiTheme="minorHAnsi"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51">
    <w:name w:val="Title Char"/>
    <w:basedOn w:val="26"/>
    <w:link w:val="22"/>
    <w:qFormat/>
    <w:uiPriority w:val="10"/>
    <w:rPr>
      <w:rFonts w:asciiTheme="majorHAnsi" w:hAnsiTheme="majorHAnsi" w:eastAsiaTheme="majorEastAsia" w:cstheme="majorBidi"/>
      <w:spacing w:val="-10"/>
      <w:kern w:val="28"/>
      <w:sz w:val="56"/>
      <w:szCs w:val="56"/>
    </w:rPr>
  </w:style>
  <w:style w:type="paragraph" w:styleId="52">
    <w:name w:val="Quote"/>
    <w:basedOn w:val="1"/>
    <w:next w:val="1"/>
    <w:link w:val="53"/>
    <w:semiHidden/>
    <w:unhideWhenUsed/>
    <w:qFormat/>
    <w:uiPriority w:val="99"/>
    <w:pPr>
      <w:spacing w:before="160"/>
    </w:pPr>
    <w:rPr>
      <w:i/>
      <w:iCs/>
      <w:color w:val="404040" w:themeColor="text1" w:themeTint="BF"/>
      <w14:textFill>
        <w14:solidFill>
          <w14:schemeClr w14:val="tx1">
            <w14:lumMod w14:val="75000"/>
            <w14:lumOff w14:val="25000"/>
          </w14:schemeClr>
        </w14:solidFill>
      </w14:textFill>
    </w:rPr>
  </w:style>
  <w:style w:type="character" w:customStyle="1" w:styleId="53">
    <w:name w:val="Quote Char"/>
    <w:basedOn w:val="26"/>
    <w:link w:val="52"/>
    <w:semiHidden/>
    <w:qFormat/>
    <w:uiPriority w:val="99"/>
    <w:rPr>
      <w:i/>
      <w:iCs/>
      <w:color w:val="404040" w:themeColor="text1" w:themeTint="BF"/>
      <w14:textFill>
        <w14:solidFill>
          <w14:schemeClr w14:val="tx1">
            <w14:lumMod w14:val="75000"/>
            <w14:lumOff w14:val="25000"/>
          </w14:schemeClr>
        </w14:solidFill>
      </w14:textFill>
    </w:rPr>
  </w:style>
  <w:style w:type="character" w:customStyle="1" w:styleId="54">
    <w:name w:val="Intense Emphasis1"/>
    <w:basedOn w:val="26"/>
    <w:qFormat/>
    <w:uiPriority w:val="21"/>
    <w:rPr>
      <w:i/>
      <w:iCs/>
      <w:color w:val="2E75B6" w:themeColor="accent1" w:themeShade="BF"/>
    </w:rPr>
  </w:style>
  <w:style w:type="paragraph" w:styleId="55">
    <w:name w:val="Intense Quote"/>
    <w:basedOn w:val="1"/>
    <w:next w:val="1"/>
    <w:link w:val="56"/>
    <w:semiHidden/>
    <w:unhideWhenUsed/>
    <w:qFormat/>
    <w:uiPriority w:val="99"/>
    <w:pPr>
      <w:pBdr>
        <w:top w:val="single" w:color="2E75B5" w:themeColor="accent1" w:themeShade="BF" w:sz="4" w:space="10"/>
        <w:bottom w:val="single" w:color="2E75B5" w:themeColor="accent1" w:themeShade="BF" w:sz="4" w:space="10"/>
      </w:pBdr>
      <w:spacing w:before="360" w:after="360"/>
      <w:ind w:left="864" w:right="864"/>
    </w:pPr>
    <w:rPr>
      <w:i/>
      <w:iCs/>
      <w:color w:val="2E75B6" w:themeColor="accent1" w:themeShade="BF"/>
    </w:rPr>
  </w:style>
  <w:style w:type="character" w:customStyle="1" w:styleId="56">
    <w:name w:val="Intense Quote Char"/>
    <w:basedOn w:val="26"/>
    <w:link w:val="55"/>
    <w:semiHidden/>
    <w:qFormat/>
    <w:uiPriority w:val="99"/>
    <w:rPr>
      <w:i/>
      <w:iCs/>
      <w:color w:val="2E75B6" w:themeColor="accent1" w:themeShade="BF"/>
    </w:rPr>
  </w:style>
  <w:style w:type="character" w:customStyle="1" w:styleId="57">
    <w:name w:val="Intense Reference1"/>
    <w:basedOn w:val="26"/>
    <w:qFormat/>
    <w:uiPriority w:val="32"/>
    <w:rPr>
      <w:b/>
      <w:bCs/>
      <w:smallCaps/>
      <w:color w:val="2E75B6" w:themeColor="accent1" w:themeShade="BF"/>
      <w:spacing w:val="5"/>
    </w:rPr>
  </w:style>
  <w:style w:type="paragraph" w:customStyle="1" w:styleId="58">
    <w:name w:val="paragraph1"/>
    <w:basedOn w:val="1"/>
    <w:qFormat/>
    <w:uiPriority w:val="0"/>
    <w:pPr>
      <w:spacing w:after="93" w:afterLines="30" w:line="360" w:lineRule="auto"/>
      <w:ind w:firstLine="480"/>
    </w:pPr>
  </w:style>
  <w:style w:type="paragraph" w:customStyle="1" w:styleId="59">
    <w:name w:val="修订1"/>
    <w:hidden/>
    <w:unhideWhenUsed/>
    <w:qFormat/>
    <w:uiPriority w:val="99"/>
    <w:rPr>
      <w:rFonts w:ascii="宋体" w:hAnsi="Times New Roman" w:eastAsia="宋体" w:cs="Times New Roman"/>
      <w:lang w:val="en-US" w:eastAsia="zh-CN" w:bidi="ar-SA"/>
    </w:rPr>
  </w:style>
  <w:style w:type="paragraph" w:customStyle="1" w:styleId="60">
    <w:name w:val="方案正文"/>
    <w:basedOn w:val="1"/>
    <w:qFormat/>
    <w:uiPriority w:val="0"/>
    <w:pPr>
      <w:spacing w:before="156" w:beforeLines="50" w:after="156" w:afterLines="50" w:line="440" w:lineRule="atLeast"/>
      <w:ind w:firstLine="480"/>
    </w:pPr>
    <w:rPr>
      <w:rFonts w:asciiTheme="minorEastAsia" w:hAnsiTheme="minorEastAsia" w:eastAsiaTheme="minorEastAsia"/>
      <w:position w:val="2"/>
    </w:rPr>
  </w:style>
  <w:style w:type="paragraph" w:customStyle="1" w:styleId="61">
    <w:name w:val="图表"/>
    <w:qFormat/>
    <w:uiPriority w:val="0"/>
    <w:pPr>
      <w:spacing w:before="20"/>
      <w:ind w:left="851"/>
      <w:jc w:val="center"/>
    </w:pPr>
    <w:rPr>
      <w:rFonts w:ascii="Times New Roman" w:hAnsi="Times New Roman" w:eastAsia="文鼎细圆简" w:cs="Times New Roman"/>
      <w:lang w:val="en-US" w:eastAsia="zh-CN" w:bidi="ar-SA"/>
    </w:rPr>
  </w:style>
  <w:style w:type="paragraph" w:customStyle="1" w:styleId="62">
    <w:name w:val="图标"/>
    <w:qFormat/>
    <w:uiPriority w:val="0"/>
    <w:pPr>
      <w:spacing w:line="220" w:lineRule="exact"/>
      <w:ind w:left="851"/>
      <w:jc w:val="center"/>
    </w:pPr>
    <w:rPr>
      <w:rFonts w:ascii="Times New Roman" w:hAnsi="Times New Roman" w:eastAsia="文鼎细圆简"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0" Type="http://schemas.openxmlformats.org/officeDocument/2006/relationships/fontTable" Target="fontTable.xml"/><Relationship Id="rId3" Type="http://schemas.openxmlformats.org/officeDocument/2006/relationships/footnotes" Target="footnotes.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image" Target="media/image8.png"/><Relationship Id="rId26" Type="http://schemas.openxmlformats.org/officeDocument/2006/relationships/image" Target="media/image7.emf"/><Relationship Id="rId25" Type="http://schemas.openxmlformats.org/officeDocument/2006/relationships/package" Target="embeddings/Microsoft_Visio___2.vsdx"/><Relationship Id="rId24" Type="http://schemas.openxmlformats.org/officeDocument/2006/relationships/image" Target="media/image6.emf"/><Relationship Id="rId23" Type="http://schemas.openxmlformats.org/officeDocument/2006/relationships/package" Target="embeddings/Workbook4.xlsx"/><Relationship Id="rId22" Type="http://schemas.openxmlformats.org/officeDocument/2006/relationships/image" Target="media/image5.emf"/><Relationship Id="rId21" Type="http://schemas.openxmlformats.org/officeDocument/2006/relationships/package" Target="embeddings/Microsoft_Visio___1.vsdx"/><Relationship Id="rId20" Type="http://schemas.openxmlformats.org/officeDocument/2006/relationships/image" Target="media/image4.png"/><Relationship Id="rId2" Type="http://schemas.openxmlformats.org/officeDocument/2006/relationships/settings" Target="settings.xml"/><Relationship Id="rId19" Type="http://schemas.openxmlformats.org/officeDocument/2006/relationships/image" Target="media/image3.emf"/><Relationship Id="rId18" Type="http://schemas.openxmlformats.org/officeDocument/2006/relationships/package" Target="embeddings/Workbook3.xlsx"/><Relationship Id="rId17" Type="http://schemas.openxmlformats.org/officeDocument/2006/relationships/image" Target="media/image2.emf"/><Relationship Id="rId16" Type="http://schemas.openxmlformats.org/officeDocument/2006/relationships/package" Target="embeddings/Workbook2.xlsx"/><Relationship Id="rId15" Type="http://schemas.openxmlformats.org/officeDocument/2006/relationships/image" Target="media/image1.emf"/><Relationship Id="rId14" Type="http://schemas.openxmlformats.org/officeDocument/2006/relationships/package" Target="embeddings/Workbook1.xlsx"/><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14463</Words>
  <Characters>15316</Characters>
  <Lines>932</Lines>
  <Paragraphs>1175</Paragraphs>
  <TotalTime>38</TotalTime>
  <ScaleCrop>false</ScaleCrop>
  <LinksUpToDate>false</LinksUpToDate>
  <CharactersWithSpaces>15502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2025-01-22T07:11:00Z</dcterms:created>
  <dc:creator>张延振</dc:creator>
  <cp:lastModifiedBy>ATWonderful</cp:lastModifiedBy>
  <dcterms:modified xsi:type="dcterms:W3CDTF">2025-05-19T06:28:55Z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eyJoZGlkIjoiN2FjYzllZjRlMmU3NTVjMDU3OWNhM2RhM2UyMzE2ZGYiLCJ1c2VySWQiOiI0NDQ4MzE4MjQifQ==</vt:lpwstr>
  </property>
  <property fmtid="{D5CDD505-2E9C-101B-9397-08002B2CF9AE}" pid="3" name="KSOProductBuildVer">
    <vt:lpwstr>2052-12.1.0.21171</vt:lpwstr>
  </property>
  <property fmtid="{D5CDD505-2E9C-101B-9397-08002B2CF9AE}" pid="4" name="ICV">
    <vt:lpwstr>B65F22EE578448DCB9F7A80BEE934BB2_13</vt:lpwstr>
  </property>
</Properties>
</file>