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92EB8">
      <w:pPr>
        <w:spacing w:line="276" w:lineRule="auto"/>
        <w:rPr>
          <w:kern w:val="0"/>
          <w:sz w:val="24"/>
        </w:rPr>
      </w:pPr>
      <w:bookmarkStart w:id="0" w:name="_Toc15059"/>
    </w:p>
    <w:p w14:paraId="245B9B97">
      <w:pPr>
        <w:spacing w:line="276" w:lineRule="auto"/>
      </w:pPr>
    </w:p>
    <w:p w14:paraId="0CE5C31B">
      <w:pPr>
        <w:spacing w:line="276" w:lineRule="auto"/>
      </w:pPr>
    </w:p>
    <w:p w14:paraId="0DBA234B">
      <w:pPr>
        <w:spacing w:line="276" w:lineRule="auto"/>
      </w:pPr>
    </w:p>
    <w:p w14:paraId="6EC25E5A">
      <w:pPr>
        <w:spacing w:line="276" w:lineRule="auto"/>
      </w:pPr>
    </w:p>
    <w:p w14:paraId="3465B1C8">
      <w:pPr>
        <w:tabs>
          <w:tab w:val="left" w:pos="720"/>
          <w:tab w:val="right" w:leader="dot" w:pos="9062"/>
        </w:tabs>
        <w:adjustRightInd w:val="0"/>
        <w:spacing w:before="240" w:after="200" w:line="276" w:lineRule="auto"/>
        <w:ind w:right="210"/>
        <w:jc w:val="center"/>
        <w:rPr>
          <w:rFonts w:ascii="宋体" w:hAnsi="宋体"/>
          <w:b/>
          <w:sz w:val="52"/>
          <w:szCs w:val="52"/>
        </w:rPr>
      </w:pPr>
      <w:r>
        <w:rPr>
          <w:rFonts w:hint="eastAsia" w:ascii="宋体" w:hAnsi="宋体"/>
          <w:b/>
          <w:sz w:val="52"/>
          <w:szCs w:val="52"/>
        </w:rPr>
        <w:t>福建省东南电化股份有限公司</w:t>
      </w:r>
    </w:p>
    <w:p w14:paraId="6A95F9F6">
      <w:pPr>
        <w:tabs>
          <w:tab w:val="left" w:pos="720"/>
          <w:tab w:val="right" w:leader="dot" w:pos="9062"/>
        </w:tabs>
        <w:adjustRightInd w:val="0"/>
        <w:spacing w:before="240" w:after="200" w:line="276" w:lineRule="auto"/>
        <w:ind w:right="210"/>
        <w:jc w:val="center"/>
        <w:rPr>
          <w:rFonts w:ascii="宋体" w:hAnsi="宋体"/>
          <w:b/>
          <w:sz w:val="52"/>
          <w:szCs w:val="52"/>
        </w:rPr>
      </w:pPr>
      <w:r>
        <w:rPr>
          <w:rFonts w:hint="eastAsia" w:ascii="宋体" w:hAnsi="宋体"/>
          <w:b/>
          <w:sz w:val="52"/>
          <w:szCs w:val="52"/>
        </w:rPr>
        <w:t>生产装置在线分析仪表维护项目</w:t>
      </w:r>
    </w:p>
    <w:p w14:paraId="5FE29E60">
      <w:pPr>
        <w:spacing w:after="200" w:line="276" w:lineRule="auto"/>
        <w:rPr>
          <w:sz w:val="52"/>
          <w:szCs w:val="52"/>
        </w:rPr>
      </w:pPr>
    </w:p>
    <w:p w14:paraId="3006AF2F">
      <w:pPr>
        <w:tabs>
          <w:tab w:val="left" w:pos="720"/>
          <w:tab w:val="right" w:leader="dot" w:pos="9062"/>
        </w:tabs>
        <w:adjustRightInd w:val="0"/>
        <w:spacing w:after="200" w:line="276" w:lineRule="auto"/>
        <w:ind w:right="210"/>
        <w:jc w:val="center"/>
        <w:rPr>
          <w:rFonts w:ascii="宋体" w:hAnsi="宋体"/>
          <w:b/>
          <w:sz w:val="52"/>
          <w:szCs w:val="52"/>
        </w:rPr>
      </w:pPr>
      <w:r>
        <w:rPr>
          <w:rFonts w:hint="eastAsia" w:ascii="宋体" w:hAnsi="宋体"/>
          <w:b/>
          <w:sz w:val="52"/>
          <w:szCs w:val="52"/>
        </w:rPr>
        <w:t>技</w:t>
      </w:r>
    </w:p>
    <w:p w14:paraId="5D432BBB">
      <w:pPr>
        <w:tabs>
          <w:tab w:val="left" w:pos="720"/>
          <w:tab w:val="right" w:leader="dot" w:pos="9062"/>
        </w:tabs>
        <w:adjustRightInd w:val="0"/>
        <w:spacing w:after="200" w:line="276" w:lineRule="auto"/>
        <w:ind w:right="210"/>
        <w:jc w:val="center"/>
        <w:rPr>
          <w:rFonts w:ascii="宋体" w:hAnsi="宋体"/>
          <w:b/>
          <w:sz w:val="52"/>
          <w:szCs w:val="52"/>
        </w:rPr>
      </w:pPr>
      <w:r>
        <w:rPr>
          <w:rFonts w:hint="eastAsia" w:ascii="宋体" w:hAnsi="宋体"/>
          <w:b/>
          <w:sz w:val="52"/>
          <w:szCs w:val="52"/>
        </w:rPr>
        <w:t>术</w:t>
      </w:r>
    </w:p>
    <w:p w14:paraId="7A49340B">
      <w:pPr>
        <w:tabs>
          <w:tab w:val="left" w:pos="720"/>
          <w:tab w:val="right" w:leader="dot" w:pos="9062"/>
        </w:tabs>
        <w:adjustRightInd w:val="0"/>
        <w:spacing w:after="200" w:line="276" w:lineRule="auto"/>
        <w:ind w:right="210"/>
        <w:jc w:val="center"/>
        <w:rPr>
          <w:rFonts w:ascii="宋体" w:hAnsi="宋体"/>
          <w:b/>
          <w:sz w:val="52"/>
          <w:szCs w:val="52"/>
        </w:rPr>
      </w:pPr>
      <w:r>
        <w:rPr>
          <w:rFonts w:hint="eastAsia" w:ascii="宋体" w:hAnsi="宋体"/>
          <w:b/>
          <w:sz w:val="52"/>
          <w:szCs w:val="52"/>
        </w:rPr>
        <w:t>规</w:t>
      </w:r>
    </w:p>
    <w:p w14:paraId="1B2FCF7F">
      <w:pPr>
        <w:tabs>
          <w:tab w:val="left" w:pos="720"/>
          <w:tab w:val="right" w:leader="dot" w:pos="9062"/>
        </w:tabs>
        <w:adjustRightInd w:val="0"/>
        <w:spacing w:after="200" w:line="276" w:lineRule="auto"/>
        <w:ind w:right="210"/>
        <w:jc w:val="center"/>
        <w:rPr>
          <w:rFonts w:ascii="宋体" w:hAnsi="宋体"/>
          <w:b/>
          <w:sz w:val="52"/>
          <w:szCs w:val="52"/>
        </w:rPr>
      </w:pPr>
      <w:r>
        <w:rPr>
          <w:rFonts w:hint="eastAsia" w:ascii="宋体" w:hAnsi="宋体"/>
          <w:b/>
          <w:sz w:val="52"/>
          <w:szCs w:val="52"/>
        </w:rPr>
        <w:t>格</w:t>
      </w:r>
    </w:p>
    <w:p w14:paraId="3ABED23F">
      <w:pPr>
        <w:tabs>
          <w:tab w:val="left" w:pos="720"/>
          <w:tab w:val="right" w:leader="dot" w:pos="9062"/>
        </w:tabs>
        <w:adjustRightInd w:val="0"/>
        <w:spacing w:after="200" w:line="276" w:lineRule="auto"/>
        <w:ind w:right="210"/>
        <w:jc w:val="center"/>
        <w:rPr>
          <w:rFonts w:ascii="宋体" w:hAnsi="宋体"/>
          <w:b/>
          <w:sz w:val="52"/>
          <w:szCs w:val="52"/>
        </w:rPr>
      </w:pPr>
      <w:r>
        <w:rPr>
          <w:rFonts w:hint="eastAsia" w:ascii="宋体" w:hAnsi="宋体"/>
          <w:b/>
          <w:sz w:val="52"/>
          <w:szCs w:val="52"/>
        </w:rPr>
        <w:t>书</w:t>
      </w:r>
    </w:p>
    <w:p w14:paraId="4EEE3262">
      <w:pPr>
        <w:spacing w:after="200" w:line="276" w:lineRule="auto"/>
        <w:rPr>
          <w:sz w:val="52"/>
          <w:szCs w:val="52"/>
        </w:rPr>
      </w:pPr>
    </w:p>
    <w:p w14:paraId="583EA845">
      <w:pPr>
        <w:tabs>
          <w:tab w:val="left" w:pos="720"/>
          <w:tab w:val="right" w:leader="dot" w:pos="9062"/>
        </w:tabs>
        <w:adjustRightInd w:val="0"/>
        <w:spacing w:after="200" w:line="276" w:lineRule="auto"/>
        <w:ind w:right="210"/>
        <w:jc w:val="center"/>
        <w:rPr>
          <w:rFonts w:ascii="宋体" w:hAnsi="宋体"/>
          <w:b/>
          <w:sz w:val="52"/>
          <w:szCs w:val="52"/>
        </w:rPr>
      </w:pPr>
      <w:r>
        <w:rPr>
          <w:rFonts w:hint="eastAsia" w:ascii="宋体" w:hAnsi="宋体"/>
          <w:b/>
          <w:sz w:val="52"/>
          <w:szCs w:val="52"/>
        </w:rPr>
        <w:t>202</w:t>
      </w:r>
      <w:r>
        <w:rPr>
          <w:rFonts w:hint="eastAsia" w:ascii="宋体" w:hAnsi="宋体"/>
          <w:b/>
          <w:sz w:val="52"/>
          <w:szCs w:val="52"/>
          <w:lang w:val="en-US" w:eastAsia="zh-CN"/>
        </w:rPr>
        <w:t>5</w:t>
      </w:r>
      <w:r>
        <w:rPr>
          <w:rFonts w:hint="eastAsia" w:ascii="宋体" w:hAnsi="宋体"/>
          <w:b/>
          <w:sz w:val="52"/>
          <w:szCs w:val="52"/>
        </w:rPr>
        <w:t>年</w:t>
      </w:r>
      <w:r>
        <w:rPr>
          <w:rFonts w:hint="eastAsia" w:ascii="宋体" w:hAnsi="宋体"/>
          <w:b/>
          <w:sz w:val="52"/>
          <w:szCs w:val="52"/>
          <w:lang w:val="en-US" w:eastAsia="zh-CN"/>
        </w:rPr>
        <w:t>11</w:t>
      </w:r>
      <w:r>
        <w:rPr>
          <w:rFonts w:hint="eastAsia" w:ascii="宋体" w:hAnsi="宋体"/>
          <w:b/>
          <w:sz w:val="52"/>
          <w:szCs w:val="52"/>
        </w:rPr>
        <w:t>月</w:t>
      </w:r>
    </w:p>
    <w:p w14:paraId="5CE19C2F">
      <w:pPr>
        <w:autoSpaceDE w:val="0"/>
        <w:autoSpaceDN w:val="0"/>
        <w:adjustRightInd w:val="0"/>
        <w:spacing w:line="500" w:lineRule="exact"/>
        <w:jc w:val="left"/>
        <w:outlineLvl w:val="0"/>
        <w:rPr>
          <w:rFonts w:ascii="宋体" w:hAnsi="宋体" w:cs="宋体"/>
          <w:b/>
          <w:kern w:val="0"/>
          <w:sz w:val="24"/>
        </w:rPr>
      </w:pPr>
    </w:p>
    <w:p w14:paraId="00F62F0E">
      <w:pPr>
        <w:autoSpaceDE w:val="0"/>
        <w:autoSpaceDN w:val="0"/>
        <w:adjustRightInd w:val="0"/>
        <w:spacing w:line="500" w:lineRule="exact"/>
        <w:jc w:val="left"/>
        <w:outlineLvl w:val="0"/>
        <w:rPr>
          <w:rFonts w:ascii="宋体" w:hAnsi="宋体" w:cs="宋体"/>
          <w:b/>
          <w:kern w:val="0"/>
          <w:sz w:val="24"/>
        </w:rPr>
      </w:pPr>
    </w:p>
    <w:p w14:paraId="5832AFBF">
      <w:pPr>
        <w:autoSpaceDE w:val="0"/>
        <w:autoSpaceDN w:val="0"/>
        <w:adjustRightInd w:val="0"/>
        <w:spacing w:line="500" w:lineRule="exact"/>
        <w:jc w:val="left"/>
        <w:outlineLvl w:val="0"/>
        <w:rPr>
          <w:rFonts w:ascii="宋体" w:hAnsi="宋体" w:cs="宋体"/>
          <w:b/>
          <w:kern w:val="0"/>
          <w:sz w:val="24"/>
        </w:rPr>
      </w:pPr>
      <w:r>
        <w:rPr>
          <w:rFonts w:hint="eastAsia" w:ascii="宋体" w:hAnsi="宋体" w:cs="宋体"/>
          <w:b/>
          <w:kern w:val="0"/>
          <w:sz w:val="24"/>
        </w:rPr>
        <w:t>一、</w:t>
      </w:r>
      <w:bookmarkEnd w:id="0"/>
      <w:r>
        <w:rPr>
          <w:rFonts w:hint="eastAsia" w:ascii="宋体" w:hAnsi="宋体" w:cs="宋体"/>
          <w:b/>
          <w:kern w:val="0"/>
          <w:sz w:val="24"/>
        </w:rPr>
        <w:t>投标人资格要求</w:t>
      </w:r>
    </w:p>
    <w:p w14:paraId="43AE2E60">
      <w:pPr>
        <w:spacing w:line="360" w:lineRule="auto"/>
        <w:rPr>
          <w:rFonts w:hint="eastAsia" w:ascii="宋体" w:hAnsi="宋体"/>
          <w:sz w:val="24"/>
          <w:highlight w:val="yellow"/>
        </w:rPr>
      </w:pPr>
      <w:r>
        <w:rPr>
          <w:rFonts w:hint="eastAsia" w:ascii="宋体" w:hAnsi="宋体"/>
          <w:sz w:val="24"/>
          <w:highlight w:val="yellow"/>
        </w:rPr>
        <w:t>1．1</w:t>
      </w:r>
      <w:r>
        <w:rPr>
          <w:rFonts w:hint="eastAsia" w:ascii="宋体" w:hAnsi="宋体"/>
          <w:sz w:val="24"/>
          <w:highlight w:val="yellow"/>
          <w:lang w:val="en-US" w:eastAsia="zh-CN"/>
        </w:rPr>
        <w:t xml:space="preserve"> 投标方应在中华人民共和国注册并具有独立法人资格，营业范围涵盖通用设备修理、仪器仪表修理，同时须完全响应招标文件且具有有效履行合同的能力</w:t>
      </w:r>
      <w:r>
        <w:rPr>
          <w:rFonts w:hint="eastAsia" w:ascii="宋体" w:hAnsi="宋体"/>
          <w:sz w:val="24"/>
          <w:highlight w:val="yellow"/>
        </w:rPr>
        <w:t xml:space="preserve">； </w:t>
      </w:r>
    </w:p>
    <w:p w14:paraId="7B88E563">
      <w:pPr>
        <w:spacing w:line="360" w:lineRule="auto"/>
        <w:rPr>
          <w:rFonts w:hint="eastAsia" w:ascii="宋体" w:hAnsi="宋体"/>
          <w:sz w:val="24"/>
        </w:rPr>
      </w:pPr>
      <w:r>
        <w:rPr>
          <w:rFonts w:hint="eastAsia" w:ascii="宋体" w:hAnsi="宋体"/>
          <w:sz w:val="24"/>
        </w:rPr>
        <w:t>1.2</w:t>
      </w:r>
      <w:r>
        <w:rPr>
          <w:rFonts w:hint="eastAsia" w:ascii="宋体" w:hAnsi="宋体"/>
          <w:sz w:val="24"/>
          <w:lang w:val="en-US" w:eastAsia="zh-CN"/>
        </w:rPr>
        <w:t xml:space="preserve"> </w:t>
      </w:r>
      <w:r>
        <w:rPr>
          <w:rFonts w:hint="eastAsia" w:ascii="宋体" w:hAnsi="宋体"/>
          <w:sz w:val="24"/>
        </w:rPr>
        <w:t>投标方需提供近</w:t>
      </w:r>
      <w:r>
        <w:rPr>
          <w:rFonts w:hint="eastAsia" w:ascii="宋体" w:hAnsi="宋体"/>
          <w:sz w:val="24"/>
          <w:lang w:val="en-US" w:eastAsia="zh-CN"/>
        </w:rPr>
        <w:t>3</w:t>
      </w:r>
      <w:r>
        <w:rPr>
          <w:rFonts w:hint="eastAsia" w:ascii="宋体" w:hAnsi="宋体"/>
          <w:sz w:val="24"/>
        </w:rPr>
        <w:t>年内承揽的至少1份有关</w:t>
      </w:r>
      <w:r>
        <w:rPr>
          <w:rFonts w:hint="eastAsia" w:ascii="宋体" w:hAnsi="宋体"/>
          <w:sz w:val="24"/>
          <w:lang w:val="en-US" w:eastAsia="zh-CN"/>
        </w:rPr>
        <w:t>石化行业仪器仪表运维、分析外包等相关业绩</w:t>
      </w:r>
      <w:r>
        <w:rPr>
          <w:rFonts w:hint="eastAsia" w:ascii="宋体" w:hAnsi="宋体"/>
          <w:sz w:val="24"/>
        </w:rPr>
        <w:t>，并提供对应合同复印件；</w:t>
      </w:r>
    </w:p>
    <w:p w14:paraId="28C995E3">
      <w:pPr>
        <w:spacing w:line="360" w:lineRule="auto"/>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本项目采用资格后审方式对参选人进行资格审查，经资格审查合格的参选人才可能有资格成为中选候选人；</w:t>
      </w:r>
    </w:p>
    <w:p w14:paraId="5EA72365">
      <w:pPr>
        <w:spacing w:line="360" w:lineRule="auto"/>
        <w:rPr>
          <w:rFonts w:hint="eastAsia" w:ascii="宋体" w:hAnsi="宋体"/>
          <w:sz w:val="24"/>
        </w:rPr>
      </w:pPr>
      <w:r>
        <w:rPr>
          <w:rFonts w:hint="eastAsia" w:ascii="宋体" w:hAnsi="宋体"/>
          <w:sz w:val="24"/>
        </w:rPr>
        <w:t>1.4</w:t>
      </w:r>
      <w:r>
        <w:rPr>
          <w:rFonts w:hint="eastAsia" w:ascii="宋体" w:hAnsi="宋体"/>
          <w:sz w:val="24"/>
          <w:lang w:val="en-US" w:eastAsia="zh-CN"/>
        </w:rPr>
        <w:t xml:space="preserve"> </w:t>
      </w:r>
      <w:r>
        <w:rPr>
          <w:rFonts w:hint="eastAsia" w:ascii="宋体" w:hAnsi="宋体"/>
          <w:sz w:val="24"/>
        </w:rPr>
        <w:t>参加本次比选活动之前的三年内，在经营活动中无重大违法记录；未被列为失信被执行人（以“中国执行信息公开网”所列数据为准）（请提供网站截图）；</w:t>
      </w:r>
    </w:p>
    <w:p w14:paraId="7049A4CB">
      <w:pPr>
        <w:spacing w:line="360" w:lineRule="auto"/>
        <w:rPr>
          <w:rFonts w:hint="eastAsia" w:ascii="宋体" w:hAnsi="宋体"/>
          <w:sz w:val="24"/>
        </w:rPr>
      </w:pPr>
      <w:r>
        <w:rPr>
          <w:rFonts w:hint="eastAsia" w:ascii="宋体" w:hAnsi="宋体"/>
          <w:sz w:val="24"/>
        </w:rPr>
        <w:t>1.5</w:t>
      </w:r>
      <w:r>
        <w:rPr>
          <w:rFonts w:hint="eastAsia" w:ascii="宋体" w:hAnsi="宋体"/>
          <w:sz w:val="24"/>
          <w:lang w:val="en-US" w:eastAsia="zh-CN"/>
        </w:rPr>
        <w:t xml:space="preserve"> </w:t>
      </w:r>
      <w:r>
        <w:rPr>
          <w:rFonts w:hint="eastAsia" w:ascii="宋体" w:hAnsi="宋体"/>
          <w:sz w:val="24"/>
        </w:rPr>
        <w:t>本项目不接受联合体投标；</w:t>
      </w:r>
    </w:p>
    <w:p w14:paraId="0E7494D6">
      <w:pPr>
        <w:spacing w:line="360" w:lineRule="auto"/>
        <w:rPr>
          <w:rFonts w:hint="eastAsia" w:ascii="宋体" w:hAnsi="宋体"/>
          <w:b/>
          <w:sz w:val="24"/>
        </w:rPr>
      </w:pPr>
      <w:r>
        <w:rPr>
          <w:rFonts w:hint="eastAsia" w:ascii="宋体" w:hAnsi="宋体"/>
          <w:b/>
          <w:sz w:val="24"/>
        </w:rPr>
        <w:t>二、服务范围及要求</w:t>
      </w:r>
    </w:p>
    <w:p w14:paraId="53757439">
      <w:pPr>
        <w:spacing w:line="360" w:lineRule="auto"/>
        <w:rPr>
          <w:rFonts w:hint="default" w:ascii="宋体" w:hAnsi="宋体" w:eastAsia="宋体"/>
          <w:sz w:val="24"/>
          <w:lang w:val="en-US" w:eastAsia="zh-CN"/>
        </w:rPr>
      </w:pPr>
      <w:r>
        <w:rPr>
          <w:rFonts w:hint="eastAsia" w:ascii="宋体" w:hAnsi="宋体"/>
          <w:sz w:val="24"/>
        </w:rPr>
        <w:t>2.1</w:t>
      </w:r>
      <w:r>
        <w:rPr>
          <w:rFonts w:hint="eastAsia" w:ascii="宋体" w:hAnsi="宋体"/>
          <w:sz w:val="24"/>
        </w:rPr>
        <w:tab/>
      </w:r>
      <w:r>
        <w:rPr>
          <w:rFonts w:hint="eastAsia" w:ascii="宋体" w:hAnsi="宋体"/>
          <w:sz w:val="24"/>
        </w:rPr>
        <w:t>维护维修范围</w:t>
      </w:r>
      <w:r>
        <w:rPr>
          <w:rFonts w:hint="eastAsia" w:ascii="宋体" w:hAnsi="宋体"/>
          <w:sz w:val="24"/>
          <w:lang w:val="en-US" w:eastAsia="zh-CN"/>
        </w:rPr>
        <w:t>及服务周期</w:t>
      </w:r>
    </w:p>
    <w:p w14:paraId="35ABB637">
      <w:pPr>
        <w:spacing w:line="360" w:lineRule="auto"/>
        <w:rPr>
          <w:rFonts w:hint="eastAsia" w:ascii="宋体" w:hAnsi="宋体"/>
          <w:sz w:val="24"/>
        </w:rPr>
      </w:pPr>
      <w:r>
        <w:rPr>
          <w:rFonts w:hint="eastAsia" w:ascii="宋体" w:hAnsi="宋体"/>
          <w:sz w:val="24"/>
        </w:rPr>
        <w:t>2.1.</w:t>
      </w:r>
      <w:r>
        <w:rPr>
          <w:rFonts w:hint="eastAsia" w:ascii="宋体" w:hAnsi="宋体"/>
          <w:sz w:val="24"/>
          <w:lang w:val="en-US" w:eastAsia="zh-CN"/>
        </w:rPr>
        <w:t>1</w:t>
      </w:r>
      <w:r>
        <w:rPr>
          <w:rFonts w:hint="eastAsia" w:ascii="宋体" w:hAnsi="宋体"/>
          <w:sz w:val="24"/>
        </w:rPr>
        <w:t>负责装置区域内分析仪表设备及设施运行过程中的维护</w:t>
      </w:r>
      <w:r>
        <w:rPr>
          <w:rFonts w:hint="eastAsia" w:ascii="宋体" w:hAnsi="宋体"/>
          <w:sz w:val="24"/>
          <w:lang w:eastAsia="zh-CN"/>
        </w:rPr>
        <w:t>、</w:t>
      </w:r>
      <w:r>
        <w:rPr>
          <w:rFonts w:hint="eastAsia" w:ascii="宋体" w:hAnsi="宋体"/>
          <w:sz w:val="24"/>
        </w:rPr>
        <w:t>维修、保养、巡点检、值班、清洁、定期检查校验、</w:t>
      </w:r>
      <w:r>
        <w:rPr>
          <w:rFonts w:hint="eastAsia" w:ascii="宋体" w:hAnsi="宋体"/>
          <w:sz w:val="24"/>
          <w:lang w:val="en-US" w:eastAsia="zh-CN"/>
        </w:rPr>
        <w:t>仪表接线安装、</w:t>
      </w:r>
      <w:r>
        <w:rPr>
          <w:rFonts w:hint="eastAsia" w:ascii="宋体" w:hAnsi="宋体"/>
          <w:sz w:val="24"/>
        </w:rPr>
        <w:t>维修件运输等，确保现场问题得到及时有效的整改，保证设备的安、稳、长、满、优运行。</w:t>
      </w:r>
    </w:p>
    <w:p w14:paraId="058AE584">
      <w:pPr>
        <w:spacing w:line="360" w:lineRule="auto"/>
        <w:rPr>
          <w:rFonts w:hint="eastAsia" w:ascii="宋体" w:hAnsi="宋体"/>
          <w:sz w:val="24"/>
        </w:rPr>
      </w:pPr>
      <w:r>
        <w:rPr>
          <w:rFonts w:hint="eastAsia" w:ascii="宋体" w:hAnsi="宋体"/>
          <w:sz w:val="24"/>
        </w:rPr>
        <w:t>2.1.</w:t>
      </w:r>
      <w:r>
        <w:rPr>
          <w:rFonts w:hint="eastAsia" w:ascii="宋体" w:hAnsi="宋体"/>
          <w:sz w:val="24"/>
          <w:lang w:val="en-US" w:eastAsia="zh-CN"/>
        </w:rPr>
        <w:t>2</w:t>
      </w:r>
      <w:r>
        <w:rPr>
          <w:rFonts w:hint="eastAsia" w:ascii="宋体" w:hAnsi="宋体"/>
          <w:sz w:val="24"/>
        </w:rPr>
        <w:t>投标人负责协助委托人做好相应区域分析仪表设备、设施的技术资料的整理。</w:t>
      </w:r>
    </w:p>
    <w:p w14:paraId="72E10B05">
      <w:pPr>
        <w:spacing w:line="360" w:lineRule="auto"/>
        <w:rPr>
          <w:rFonts w:hint="eastAsia" w:ascii="宋体" w:hAnsi="宋体"/>
          <w:sz w:val="24"/>
        </w:rPr>
      </w:pPr>
      <w:r>
        <w:rPr>
          <w:rFonts w:hint="eastAsia" w:ascii="宋体" w:hAnsi="宋体"/>
          <w:sz w:val="24"/>
        </w:rPr>
        <w:t>2.1.</w:t>
      </w:r>
      <w:r>
        <w:rPr>
          <w:rFonts w:hint="eastAsia" w:ascii="宋体" w:hAnsi="宋体"/>
          <w:sz w:val="24"/>
          <w:lang w:val="en-US" w:eastAsia="zh-CN"/>
        </w:rPr>
        <w:t>3</w:t>
      </w:r>
      <w:r>
        <w:rPr>
          <w:rFonts w:hint="eastAsia" w:ascii="宋体" w:hAnsi="宋体"/>
          <w:sz w:val="24"/>
        </w:rPr>
        <w:t>投标人负责从库房领或退备品备件，委托人提供备品备件运输工具，投标人人员须满足相应操作资质要求</w:t>
      </w:r>
      <w:r>
        <w:rPr>
          <w:rFonts w:hint="eastAsia" w:ascii="宋体" w:hAnsi="宋体"/>
          <w:sz w:val="24"/>
          <w:lang w:eastAsia="zh-CN"/>
        </w:rPr>
        <w:t>，</w:t>
      </w:r>
      <w:r>
        <w:rPr>
          <w:rFonts w:hint="eastAsia" w:ascii="宋体" w:hAnsi="宋体"/>
          <w:sz w:val="24"/>
          <w:lang w:val="en-US" w:eastAsia="zh-CN"/>
        </w:rPr>
        <w:t>具有仪表自动化特种作业证书等</w:t>
      </w:r>
      <w:r>
        <w:rPr>
          <w:rFonts w:hint="eastAsia" w:ascii="宋体" w:hAnsi="宋体"/>
          <w:sz w:val="24"/>
        </w:rPr>
        <w:t>。</w:t>
      </w:r>
    </w:p>
    <w:p w14:paraId="3CD9A598">
      <w:pPr>
        <w:spacing w:line="360" w:lineRule="auto"/>
        <w:rPr>
          <w:rFonts w:hint="eastAsia" w:ascii="宋体" w:hAnsi="宋体"/>
          <w:sz w:val="24"/>
        </w:rPr>
      </w:pPr>
      <w:r>
        <w:rPr>
          <w:rFonts w:hint="eastAsia" w:ascii="宋体" w:hAnsi="宋体"/>
          <w:sz w:val="24"/>
        </w:rPr>
        <w:t>2.1.</w:t>
      </w:r>
      <w:r>
        <w:rPr>
          <w:rFonts w:hint="eastAsia" w:ascii="宋体" w:hAnsi="宋体"/>
          <w:sz w:val="24"/>
          <w:lang w:val="en-US" w:eastAsia="zh-CN"/>
        </w:rPr>
        <w:t>4</w:t>
      </w:r>
      <w:r>
        <w:rPr>
          <w:rFonts w:hint="eastAsia" w:ascii="宋体" w:hAnsi="宋体"/>
          <w:sz w:val="24"/>
        </w:rPr>
        <w:t>对于方案运行过程中，维护维修范围界定不清楚的工作，应本着公平合理的原则，由双方负责人协商讨论确定。</w:t>
      </w:r>
    </w:p>
    <w:p w14:paraId="23B1779A">
      <w:pPr>
        <w:spacing w:line="360" w:lineRule="auto"/>
        <w:rPr>
          <w:rFonts w:hint="default" w:ascii="宋体" w:hAnsi="宋体" w:eastAsia="宋体"/>
          <w:sz w:val="24"/>
          <w:lang w:val="en-US" w:eastAsia="zh-CN"/>
        </w:rPr>
      </w:pPr>
      <w:r>
        <w:rPr>
          <w:rFonts w:hint="eastAsia" w:ascii="宋体" w:hAnsi="宋体"/>
          <w:sz w:val="24"/>
          <w:lang w:val="en-US" w:eastAsia="zh-CN"/>
        </w:rPr>
        <w:t xml:space="preserve">2.1.5 </w:t>
      </w:r>
      <w:r>
        <w:rPr>
          <w:rFonts w:hint="eastAsia" w:ascii="宋体" w:hAnsi="宋体"/>
          <w:b w:val="0"/>
          <w:bCs w:val="0"/>
          <w:sz w:val="24"/>
          <w:highlight w:val="yellow"/>
          <w:lang w:val="en-US" w:eastAsia="zh-CN"/>
        </w:rPr>
        <w:t>服务合同周期</w:t>
      </w:r>
      <w:r>
        <w:rPr>
          <w:rFonts w:hint="eastAsia" w:ascii="宋体" w:hAnsi="宋体"/>
          <w:b w:val="0"/>
          <w:bCs w:val="0"/>
          <w:sz w:val="24"/>
          <w:highlight w:val="yellow"/>
          <w:u w:val="single"/>
          <w:lang w:val="en-US" w:eastAsia="zh-CN"/>
        </w:rPr>
        <w:t>2</w:t>
      </w:r>
      <w:r>
        <w:rPr>
          <w:rFonts w:hint="eastAsia" w:ascii="宋体" w:hAnsi="宋体"/>
          <w:b w:val="0"/>
          <w:bCs w:val="0"/>
          <w:sz w:val="24"/>
          <w:highlight w:val="yellow"/>
          <w:lang w:val="en-US" w:eastAsia="zh-CN"/>
        </w:rPr>
        <w:t>年 ，第二年需根据甲方要求增减服务人员，重新签订补充合同。</w:t>
      </w:r>
      <w:r>
        <w:rPr>
          <w:rFonts w:hint="eastAsia" w:ascii="宋体" w:hAnsi="宋体"/>
          <w:sz w:val="24"/>
          <w:lang w:val="en-US" w:eastAsia="zh-CN"/>
        </w:rPr>
        <w:t xml:space="preserve"> </w:t>
      </w:r>
    </w:p>
    <w:p w14:paraId="0C66A910">
      <w:pPr>
        <w:spacing w:line="360" w:lineRule="auto"/>
        <w:rPr>
          <w:rFonts w:hint="eastAsia" w:ascii="宋体" w:hAnsi="宋体"/>
          <w:sz w:val="24"/>
        </w:rPr>
      </w:pPr>
      <w:r>
        <w:rPr>
          <w:rFonts w:hint="eastAsia" w:ascii="宋体" w:hAnsi="宋体"/>
          <w:sz w:val="24"/>
        </w:rPr>
        <w:t>2.2</w:t>
      </w:r>
      <w:r>
        <w:rPr>
          <w:rFonts w:hint="eastAsia" w:ascii="宋体" w:hAnsi="宋体"/>
          <w:sz w:val="24"/>
        </w:rPr>
        <w:tab/>
      </w:r>
      <w:r>
        <w:rPr>
          <w:rFonts w:hint="eastAsia" w:ascii="宋体" w:hAnsi="宋体"/>
          <w:sz w:val="24"/>
        </w:rPr>
        <w:t>日常工作内容</w:t>
      </w:r>
    </w:p>
    <w:p w14:paraId="683D60D5">
      <w:pPr>
        <w:spacing w:line="360" w:lineRule="auto"/>
        <w:rPr>
          <w:rFonts w:hint="eastAsia" w:ascii="宋体" w:hAnsi="宋体"/>
          <w:sz w:val="24"/>
        </w:rPr>
      </w:pPr>
      <w:r>
        <w:rPr>
          <w:rFonts w:hint="eastAsia" w:ascii="宋体" w:hAnsi="宋体"/>
          <w:sz w:val="24"/>
        </w:rPr>
        <w:t>2.2.1日常工作主要内容</w:t>
      </w:r>
    </w:p>
    <w:p w14:paraId="503ED8E2">
      <w:pPr>
        <w:spacing w:line="360" w:lineRule="auto"/>
        <w:rPr>
          <w:rFonts w:hint="eastAsia" w:ascii="宋体" w:hAnsi="宋体"/>
          <w:sz w:val="24"/>
        </w:rPr>
      </w:pPr>
      <w:r>
        <w:rPr>
          <w:rFonts w:hint="eastAsia" w:ascii="宋体" w:hAnsi="宋体"/>
          <w:sz w:val="24"/>
        </w:rPr>
        <w:t>（1）每年初制定分析仪表定期维护保养计划</w:t>
      </w:r>
      <w:r>
        <w:rPr>
          <w:rFonts w:hint="eastAsia" w:ascii="宋体" w:hAnsi="宋体"/>
          <w:sz w:val="24"/>
          <w:lang w:val="en-US" w:eastAsia="zh-CN"/>
        </w:rPr>
        <w:t>方案提交QHSE部审核</w:t>
      </w:r>
      <w:r>
        <w:rPr>
          <w:rFonts w:hint="eastAsia" w:ascii="宋体" w:hAnsi="宋体"/>
          <w:sz w:val="24"/>
        </w:rPr>
        <w:t>，每月初按照月度维护保养计划，落实到每周执行；</w:t>
      </w:r>
    </w:p>
    <w:p w14:paraId="3CAD1DAE">
      <w:pPr>
        <w:spacing w:line="360" w:lineRule="auto"/>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lang w:val="en-US" w:eastAsia="zh-CN"/>
        </w:rPr>
        <w:t>负责责任区域每日在线分析仪表现场巡检工作，及时掌握现场仪表工作状态，消除仪表隐患和现场跑冒滴漏问题，确保仪表工作正常和数据准确；</w:t>
      </w:r>
    </w:p>
    <w:p w14:paraId="77D67823">
      <w:pPr>
        <w:spacing w:line="360" w:lineRule="auto"/>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）根据分析仪表类型</w:t>
      </w:r>
      <w:r>
        <w:rPr>
          <w:rFonts w:hint="eastAsia" w:ascii="宋体" w:hAnsi="宋体"/>
          <w:sz w:val="24"/>
          <w:lang w:val="en-US" w:eastAsia="zh-CN"/>
        </w:rPr>
        <w:t>和维护计划</w:t>
      </w:r>
      <w:r>
        <w:rPr>
          <w:rFonts w:hint="eastAsia" w:ascii="宋体" w:hAnsi="宋体"/>
          <w:sz w:val="24"/>
        </w:rPr>
        <w:t>进行定期标定；</w:t>
      </w:r>
    </w:p>
    <w:p w14:paraId="2DEB2A13">
      <w:pPr>
        <w:spacing w:line="360" w:lineRule="auto"/>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负责</w:t>
      </w:r>
      <w:r>
        <w:rPr>
          <w:rFonts w:hint="eastAsia" w:ascii="宋体" w:hAnsi="宋体"/>
          <w:sz w:val="24"/>
        </w:rPr>
        <w:t>所有在线分析仪表及系统的故障检查和</w:t>
      </w:r>
      <w:r>
        <w:rPr>
          <w:rFonts w:hint="eastAsia" w:ascii="宋体" w:hAnsi="宋体"/>
          <w:sz w:val="24"/>
          <w:lang w:val="en-US" w:eastAsia="zh-CN"/>
        </w:rPr>
        <w:t>异常</w:t>
      </w:r>
      <w:r>
        <w:rPr>
          <w:rFonts w:hint="eastAsia" w:ascii="宋体" w:hAnsi="宋体"/>
          <w:sz w:val="24"/>
        </w:rPr>
        <w:t>处理；</w:t>
      </w:r>
    </w:p>
    <w:p w14:paraId="682EF535">
      <w:pPr>
        <w:spacing w:line="360" w:lineRule="auto"/>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）每日记录工作维护日志，对运行情况、维修情况、备件使用情况和下一步需求情况分析，每月以月报的形式向委托方提供仪表运行情况；</w:t>
      </w:r>
    </w:p>
    <w:p w14:paraId="09EB5090">
      <w:pPr>
        <w:spacing w:line="360" w:lineRule="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 xml:space="preserve">）按时更换试剂，对于试剂使用量要有记录，每月提报需求； </w:t>
      </w:r>
    </w:p>
    <w:p w14:paraId="04728126">
      <w:pPr>
        <w:spacing w:line="360" w:lineRule="auto"/>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）对选型不合理或工艺条件发生变化，造成仪表无法正常运行，投标人有义务提出改造方案并交由甲方审核；</w:t>
      </w:r>
    </w:p>
    <w:p w14:paraId="466261BB">
      <w:pPr>
        <w:spacing w:line="360" w:lineRule="auto"/>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）维修要更换备件时，需经甲方确认；</w:t>
      </w:r>
    </w:p>
    <w:p w14:paraId="116FBAA0">
      <w:pPr>
        <w:spacing w:line="360" w:lineRule="auto"/>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）建立仪表设备档案、检修档案、制定检修计划、建立巡检内容、巡检路线、安全生产管理制度，编制仪表检修规程；</w:t>
      </w:r>
    </w:p>
    <w:p w14:paraId="6F8AABEE">
      <w:pPr>
        <w:spacing w:line="360" w:lineRule="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10</w:t>
      </w:r>
      <w:r>
        <w:rPr>
          <w:rFonts w:hint="eastAsia" w:ascii="宋体" w:hAnsi="宋体"/>
          <w:sz w:val="24"/>
        </w:rPr>
        <w:t>）试剂配制：投标人提前1周向甲方提出需求，甲方负责试剂采购，投标人负责试剂瓶（桶）的清洗、送配、运输、更换等工作</w:t>
      </w:r>
      <w:r>
        <w:rPr>
          <w:rFonts w:hint="eastAsia" w:ascii="宋体" w:hAnsi="宋体"/>
          <w:sz w:val="24"/>
          <w:lang w:eastAsia="zh-CN"/>
        </w:rPr>
        <w:t>；</w:t>
      </w:r>
    </w:p>
    <w:p w14:paraId="682BA5AA">
      <w:pPr>
        <w:spacing w:line="360" w:lineRule="auto"/>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1</w:t>
      </w:r>
      <w:r>
        <w:rPr>
          <w:rFonts w:hint="eastAsia" w:ascii="宋体" w:hAnsi="宋体"/>
          <w:sz w:val="24"/>
        </w:rPr>
        <w:t>）投标人负责载气、标准气</w:t>
      </w:r>
      <w:r>
        <w:rPr>
          <w:rFonts w:hint="eastAsia" w:ascii="宋体" w:hAnsi="宋体"/>
          <w:sz w:val="24"/>
          <w:lang w:val="en-US" w:eastAsia="zh-CN"/>
        </w:rPr>
        <w:t>的运输</w:t>
      </w:r>
      <w:r>
        <w:rPr>
          <w:rFonts w:hint="eastAsia" w:ascii="宋体" w:hAnsi="宋体"/>
          <w:sz w:val="24"/>
        </w:rPr>
        <w:t>更换</w:t>
      </w:r>
      <w:r>
        <w:rPr>
          <w:rFonts w:hint="eastAsia" w:ascii="宋体" w:hAnsi="宋体"/>
          <w:sz w:val="24"/>
          <w:lang w:eastAsia="zh-CN"/>
        </w:rPr>
        <w:t>；</w:t>
      </w:r>
    </w:p>
    <w:p w14:paraId="5B82F26C">
      <w:pPr>
        <w:spacing w:line="360" w:lineRule="auto"/>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）消耗品：投标人要提前1个月向甲方提供消耗品（试剂</w:t>
      </w:r>
      <w:r>
        <w:rPr>
          <w:rFonts w:hint="eastAsia" w:ascii="宋体" w:hAnsi="宋体"/>
          <w:sz w:val="24"/>
          <w:lang w:eastAsia="zh-CN"/>
        </w:rPr>
        <w:t>、配件、载气</w:t>
      </w:r>
      <w:r>
        <w:rPr>
          <w:rFonts w:hint="eastAsia" w:ascii="宋体" w:hAnsi="宋体"/>
          <w:sz w:val="24"/>
        </w:rPr>
        <w:t>等）需求计划，甲方审核并报采购。</w:t>
      </w:r>
    </w:p>
    <w:p w14:paraId="2E6AAE74">
      <w:pPr>
        <w:spacing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2.2 工作方式</w:t>
      </w:r>
    </w:p>
    <w:p w14:paraId="463A8B08">
      <w:pPr>
        <w:spacing w:line="360" w:lineRule="auto"/>
        <w:rPr>
          <w:rFonts w:hint="eastAsia" w:ascii="宋体" w:hAnsi="宋体"/>
          <w:sz w:val="24"/>
        </w:rPr>
      </w:pPr>
      <w:r>
        <w:rPr>
          <w:rFonts w:hint="eastAsia" w:ascii="宋体" w:hAnsi="宋体"/>
          <w:sz w:val="24"/>
        </w:rPr>
        <w:t>（1）工作范围：所承包的在线分析仪表和系统(包括仪表、样品预处理、分析小屋及相关配套设施等)，投标人制定详细的岗位分配、工作职责范围与职能；</w:t>
      </w:r>
    </w:p>
    <w:p w14:paraId="2B95D902">
      <w:pPr>
        <w:spacing w:line="360" w:lineRule="auto"/>
        <w:rPr>
          <w:rFonts w:hint="eastAsia" w:ascii="宋体" w:hAnsi="宋体"/>
          <w:sz w:val="24"/>
        </w:rPr>
      </w:pPr>
      <w:r>
        <w:rPr>
          <w:rFonts w:hint="eastAsia" w:ascii="宋体" w:hAnsi="宋体"/>
          <w:sz w:val="24"/>
        </w:rPr>
        <w:t>（2）工作时间：白班8小时工作制，节假日按照东南电化</w:t>
      </w:r>
      <w:r>
        <w:rPr>
          <w:rFonts w:hint="eastAsia" w:ascii="宋体" w:hAnsi="宋体"/>
          <w:sz w:val="24"/>
          <w:lang w:val="en-US" w:eastAsia="zh-CN"/>
        </w:rPr>
        <w:t>QHSE部</w:t>
      </w:r>
      <w:r>
        <w:rPr>
          <w:rFonts w:hint="eastAsia" w:ascii="宋体" w:hAnsi="宋体"/>
          <w:sz w:val="24"/>
        </w:rPr>
        <w:t>安排执行，如需请假，需向业主报批</w:t>
      </w:r>
      <w:r>
        <w:rPr>
          <w:rFonts w:hint="eastAsia" w:ascii="宋体" w:hAnsi="宋体"/>
          <w:sz w:val="24"/>
          <w:lang w:eastAsia="zh-CN"/>
        </w:rPr>
        <w:t>，</w:t>
      </w:r>
      <w:r>
        <w:rPr>
          <w:rFonts w:hint="eastAsia" w:ascii="宋体" w:hAnsi="宋体"/>
          <w:sz w:val="24"/>
          <w:lang w:val="en-US" w:eastAsia="zh-CN"/>
        </w:rPr>
        <w:t>日常考勤由委托方负责</w:t>
      </w:r>
      <w:r>
        <w:rPr>
          <w:rFonts w:hint="eastAsia" w:ascii="宋体" w:hAnsi="宋体"/>
          <w:sz w:val="24"/>
        </w:rPr>
        <w:t>；</w:t>
      </w:r>
    </w:p>
    <w:p w14:paraId="2FD34C17">
      <w:pPr>
        <w:spacing w:line="360" w:lineRule="auto"/>
        <w:rPr>
          <w:rFonts w:hint="default" w:ascii="宋体" w:hAnsi="宋体" w:eastAsia="宋体"/>
          <w:sz w:val="24"/>
          <w:lang w:val="en-US" w:eastAsia="zh-CN"/>
        </w:rPr>
      </w:pPr>
      <w:r>
        <w:rPr>
          <w:rFonts w:hint="eastAsia" w:ascii="宋体" w:hAnsi="宋体"/>
          <w:sz w:val="24"/>
        </w:rPr>
        <w:t>（3）值班要求：原则上按照东南电化</w:t>
      </w:r>
      <w:r>
        <w:rPr>
          <w:rFonts w:hint="eastAsia" w:ascii="宋体" w:hAnsi="宋体"/>
          <w:sz w:val="24"/>
          <w:lang w:val="en-US" w:eastAsia="zh-CN"/>
        </w:rPr>
        <w:t>QHSE部</w:t>
      </w:r>
      <w:r>
        <w:rPr>
          <w:rFonts w:hint="eastAsia" w:ascii="宋体" w:hAnsi="宋体"/>
          <w:sz w:val="24"/>
        </w:rPr>
        <w:t>安排执行，根据现场实际情况，必须保证现场仪表设备运行正常。</w:t>
      </w:r>
      <w:r>
        <w:rPr>
          <w:rFonts w:hint="eastAsia" w:ascii="宋体" w:hAnsi="宋体"/>
          <w:sz w:val="24"/>
          <w:lang w:val="en-US" w:eastAsia="zh-CN"/>
        </w:rPr>
        <w:t>如遇夜间紧急情况需根据东南电化要求及时入厂进行异常处置；</w:t>
      </w:r>
    </w:p>
    <w:p w14:paraId="037EE1CF">
      <w:pPr>
        <w:spacing w:line="360" w:lineRule="auto"/>
        <w:rPr>
          <w:rFonts w:hint="eastAsia" w:ascii="宋体" w:hAnsi="宋体" w:eastAsia="宋体"/>
          <w:sz w:val="24"/>
          <w:lang w:eastAsia="zh-CN"/>
        </w:rPr>
      </w:pPr>
      <w:r>
        <w:rPr>
          <w:rFonts w:hint="eastAsia" w:ascii="宋体" w:hAnsi="宋体"/>
          <w:sz w:val="24"/>
        </w:rPr>
        <w:t>（4）工作器具：承包方自己配备防爆工具、扭矩、个人工器具，</w:t>
      </w:r>
      <w:r>
        <w:rPr>
          <w:rFonts w:hint="eastAsia" w:ascii="宋体" w:hAnsi="宋体"/>
          <w:sz w:val="24"/>
          <w:lang w:val="en-US" w:eastAsia="zh-CN"/>
        </w:rPr>
        <w:t>以及劳保</w:t>
      </w:r>
      <w:r>
        <w:rPr>
          <w:rFonts w:hint="eastAsia" w:ascii="宋体" w:hAnsi="宋体"/>
          <w:sz w:val="24"/>
        </w:rPr>
        <w:t>防护用品</w:t>
      </w:r>
      <w:r>
        <w:rPr>
          <w:rFonts w:hint="eastAsia" w:ascii="宋体" w:hAnsi="宋体"/>
          <w:sz w:val="24"/>
          <w:lang w:eastAsia="zh-CN"/>
        </w:rPr>
        <w:t>；</w:t>
      </w:r>
    </w:p>
    <w:p w14:paraId="6BA8AE4C">
      <w:pPr>
        <w:spacing w:line="360" w:lineRule="auto"/>
        <w:rPr>
          <w:rFonts w:hint="eastAsia" w:ascii="宋体" w:hAnsi="宋体"/>
          <w:sz w:val="24"/>
        </w:rPr>
      </w:pPr>
      <w:r>
        <w:rPr>
          <w:rFonts w:hint="eastAsia" w:ascii="宋体" w:hAnsi="宋体"/>
          <w:sz w:val="24"/>
        </w:rPr>
        <w:t>（5）着装要求：要统一着装，符合相关的安全规定；</w:t>
      </w:r>
    </w:p>
    <w:p w14:paraId="4A8B7961">
      <w:pPr>
        <w:spacing w:line="360" w:lineRule="auto"/>
        <w:rPr>
          <w:rFonts w:hint="eastAsia" w:ascii="宋体" w:hAnsi="宋体"/>
          <w:sz w:val="24"/>
        </w:rPr>
      </w:pPr>
      <w:r>
        <w:rPr>
          <w:rFonts w:hint="eastAsia" w:ascii="宋体" w:hAnsi="宋体"/>
          <w:sz w:val="24"/>
        </w:rPr>
        <w:t>（6）外包人员要服从委托方的工作安排；</w:t>
      </w:r>
    </w:p>
    <w:p w14:paraId="38D33EBA">
      <w:pPr>
        <w:spacing w:line="360" w:lineRule="auto"/>
        <w:rPr>
          <w:rFonts w:hint="eastAsia" w:ascii="宋体" w:hAnsi="宋体"/>
          <w:sz w:val="24"/>
        </w:rPr>
      </w:pPr>
      <w:r>
        <w:rPr>
          <w:rFonts w:hint="eastAsia" w:ascii="宋体" w:hAnsi="宋体"/>
          <w:sz w:val="24"/>
        </w:rPr>
        <w:t>（7）人员替换、调动、休假制度：如有人员替换、调动、休假的情况，须向甲方提出申请，批准后方可执行。替换人员必须经过考试、面试、领导批准后方可进入现场；替换、调动人员必须留有足够的交接时间，提前30天向甲方提出申请，待甲方批准后，等交接好后方可离开。投标人休假人员休假按甲方规定执行。</w:t>
      </w:r>
    </w:p>
    <w:p w14:paraId="49E2A3B7">
      <w:pPr>
        <w:spacing w:line="360" w:lineRule="auto"/>
        <w:rPr>
          <w:rFonts w:hint="eastAsia" w:ascii="宋体" w:hAnsi="宋体"/>
          <w:b/>
          <w:sz w:val="24"/>
        </w:rPr>
      </w:pPr>
      <w:r>
        <w:rPr>
          <w:rFonts w:hint="eastAsia" w:ascii="宋体" w:hAnsi="宋体"/>
          <w:b/>
          <w:sz w:val="24"/>
        </w:rPr>
        <w:t>三、各类仪器仪表和设备的针对性维护维修方案</w:t>
      </w:r>
    </w:p>
    <w:p w14:paraId="378FF7F1">
      <w:pPr>
        <w:spacing w:line="360" w:lineRule="auto"/>
        <w:rPr>
          <w:rFonts w:hint="eastAsia" w:ascii="宋体" w:hAnsi="宋体"/>
          <w:sz w:val="24"/>
        </w:rPr>
      </w:pPr>
      <w:r>
        <w:rPr>
          <w:rFonts w:hint="eastAsia" w:ascii="宋体" w:hAnsi="宋体"/>
          <w:sz w:val="24"/>
          <w:lang w:val="en-US" w:eastAsia="zh-CN"/>
        </w:rPr>
        <w:t xml:space="preserve">3.1 </w:t>
      </w:r>
      <w:r>
        <w:rPr>
          <w:rFonts w:hint="eastAsia" w:ascii="宋体" w:hAnsi="宋体"/>
          <w:sz w:val="24"/>
        </w:rPr>
        <w:t>定期维护工作可制定出具体的计划时间，除年度定期维护外的内容中，时间间隔一样的分项可组合在一个工作时，一般按</w:t>
      </w:r>
      <w:r>
        <w:rPr>
          <w:rFonts w:hint="eastAsia" w:ascii="宋体" w:hAnsi="宋体"/>
          <w:sz w:val="24"/>
          <w:lang w:val="en-US" w:eastAsia="zh-CN"/>
        </w:rPr>
        <w:t>月度预防性维护计划</w:t>
      </w:r>
      <w:r>
        <w:rPr>
          <w:rFonts w:hint="eastAsia" w:ascii="宋体" w:hAnsi="宋体"/>
          <w:sz w:val="24"/>
        </w:rPr>
        <w:t>进行。对于不定期维护和故障检修，应及时、准确的分析，找出故障原因，提出解决方案，依照甲方的安全规范和管理规范进行维护维修。</w:t>
      </w:r>
    </w:p>
    <w:p w14:paraId="7BAAB5F6">
      <w:pPr>
        <w:spacing w:line="360" w:lineRule="auto"/>
        <w:rPr>
          <w:rFonts w:hint="eastAsia" w:ascii="宋体" w:hAnsi="宋体" w:eastAsia="宋体"/>
          <w:sz w:val="24"/>
          <w:lang w:eastAsia="zh-CN"/>
        </w:rPr>
      </w:pPr>
      <w:r>
        <w:rPr>
          <w:rFonts w:hint="eastAsia" w:ascii="宋体" w:hAnsi="宋体"/>
          <w:sz w:val="24"/>
        </w:rPr>
        <w:t>3.</w:t>
      </w:r>
      <w:r>
        <w:rPr>
          <w:rFonts w:hint="eastAsia" w:ascii="宋体" w:hAnsi="宋体"/>
          <w:sz w:val="24"/>
          <w:lang w:val="en-US" w:eastAsia="zh-CN"/>
        </w:rPr>
        <w:t xml:space="preserve">2 </w:t>
      </w:r>
      <w:r>
        <w:rPr>
          <w:rFonts w:hint="eastAsia" w:ascii="宋体" w:hAnsi="宋体"/>
          <w:b w:val="0"/>
          <w:bCs w:val="0"/>
          <w:sz w:val="24"/>
        </w:rPr>
        <w:t>因仪表取消导致的拆除作业：大柜及小屋拆除等大工程，需多专业协作，由委托方委托设备部完成，其他小表项目由</w:t>
      </w:r>
      <w:r>
        <w:rPr>
          <w:rFonts w:hint="eastAsia" w:ascii="宋体" w:hAnsi="宋体"/>
          <w:b w:val="0"/>
          <w:bCs w:val="0"/>
          <w:sz w:val="24"/>
          <w:lang w:eastAsia="zh-CN"/>
        </w:rPr>
        <w:t>受托方</w:t>
      </w:r>
      <w:r>
        <w:rPr>
          <w:rFonts w:hint="eastAsia" w:ascii="宋体" w:hAnsi="宋体"/>
          <w:b w:val="0"/>
          <w:bCs w:val="0"/>
          <w:sz w:val="24"/>
        </w:rPr>
        <w:t>按日常维修业务执行</w:t>
      </w:r>
      <w:r>
        <w:rPr>
          <w:rFonts w:hint="eastAsia" w:ascii="宋体" w:hAnsi="宋体"/>
          <w:b w:val="0"/>
          <w:bCs w:val="0"/>
          <w:sz w:val="24"/>
          <w:lang w:eastAsia="zh-CN"/>
        </w:rPr>
        <w:t>。</w:t>
      </w:r>
    </w:p>
    <w:p w14:paraId="3CCADAE6">
      <w:pPr>
        <w:spacing w:line="360" w:lineRule="auto"/>
        <w:rPr>
          <w:rFonts w:hint="eastAsia" w:ascii="宋体" w:hAnsi="宋体"/>
          <w:sz w:val="24"/>
        </w:rPr>
      </w:pPr>
      <w:r>
        <w:rPr>
          <w:rFonts w:hint="eastAsia" w:ascii="宋体" w:hAnsi="宋体"/>
          <w:sz w:val="24"/>
        </w:rPr>
        <w:t>3</w:t>
      </w:r>
      <w:r>
        <w:rPr>
          <w:rFonts w:hint="eastAsia" w:ascii="宋体" w:hAnsi="宋体"/>
          <w:sz w:val="24"/>
          <w:lang w:val="en-US" w:eastAsia="zh-CN"/>
        </w:rPr>
        <w:t>.2.1</w:t>
      </w:r>
      <w:r>
        <w:rPr>
          <w:rFonts w:hint="eastAsia" w:ascii="宋体" w:hAnsi="宋体"/>
          <w:sz w:val="24"/>
        </w:rPr>
        <w:t xml:space="preserve"> 综述</w:t>
      </w:r>
    </w:p>
    <w:p w14:paraId="2EB40203">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分析仪表设备各种制作件的机加工项目</w:t>
      </w:r>
      <w:r>
        <w:rPr>
          <w:rFonts w:hint="eastAsia" w:ascii="宋体" w:hAnsi="宋体"/>
          <w:sz w:val="24"/>
          <w:lang w:eastAsia="zh-CN"/>
        </w:rPr>
        <w:t>与</w:t>
      </w:r>
      <w:r>
        <w:rPr>
          <w:rFonts w:hint="eastAsia" w:ascii="宋体" w:hAnsi="宋体"/>
          <w:sz w:val="24"/>
        </w:rPr>
        <w:t>设备、材料、配件、备件的厂外运输不在维护维修范围内。（公司内部运输属于维保维修范围内容）。</w:t>
      </w:r>
    </w:p>
    <w:p w14:paraId="3F5F2019">
      <w:pPr>
        <w:spacing w:line="360" w:lineRule="auto"/>
        <w:rPr>
          <w:rFonts w:hint="eastAsia" w:ascii="宋体" w:hAnsi="宋体"/>
          <w:sz w:val="24"/>
        </w:rPr>
      </w:pPr>
      <w:r>
        <w:rPr>
          <w:rFonts w:hint="eastAsia" w:ascii="宋体" w:hAnsi="宋体"/>
          <w:sz w:val="24"/>
          <w:lang w:eastAsia="zh-CN"/>
        </w:rPr>
        <w:t>（2）</w:t>
      </w:r>
      <w:r>
        <w:rPr>
          <w:rFonts w:hint="eastAsia" w:ascii="宋体" w:hAnsi="宋体"/>
          <w:sz w:val="24"/>
        </w:rPr>
        <w:t>油漆、绝热、防腐蚀、无损检测及土建不在维护维修范围内。</w:t>
      </w:r>
    </w:p>
    <w:p w14:paraId="546B43EC">
      <w:pPr>
        <w:spacing w:line="360" w:lineRule="auto"/>
        <w:rPr>
          <w:rFonts w:hint="eastAsia" w:ascii="宋体" w:hAnsi="宋体"/>
          <w:sz w:val="24"/>
        </w:rPr>
      </w:pPr>
      <w:r>
        <w:rPr>
          <w:rFonts w:hint="eastAsia" w:ascii="宋体" w:hAnsi="宋体"/>
          <w:sz w:val="24"/>
          <w:lang w:eastAsia="zh-CN"/>
        </w:rPr>
        <w:t>（3）</w:t>
      </w:r>
      <w:r>
        <w:rPr>
          <w:rFonts w:hint="eastAsia" w:ascii="宋体" w:hAnsi="宋体"/>
          <w:sz w:val="24"/>
        </w:rPr>
        <w:t>脚手架搭拆不在维护维修范围内。</w:t>
      </w:r>
    </w:p>
    <w:p w14:paraId="1092868C">
      <w:pPr>
        <w:spacing w:line="360" w:lineRule="auto"/>
        <w:rPr>
          <w:rFonts w:hint="eastAsia" w:ascii="宋体" w:hAnsi="宋体"/>
          <w:sz w:val="24"/>
        </w:rPr>
      </w:pPr>
      <w:r>
        <w:rPr>
          <w:rFonts w:hint="eastAsia" w:ascii="宋体" w:hAnsi="宋体"/>
          <w:sz w:val="24"/>
        </w:rPr>
        <w:t>3.</w:t>
      </w:r>
      <w:r>
        <w:rPr>
          <w:rFonts w:hint="eastAsia" w:ascii="宋体" w:hAnsi="宋体"/>
          <w:sz w:val="24"/>
          <w:lang w:val="en-US" w:eastAsia="zh-CN"/>
        </w:rPr>
        <w:t>3.1</w:t>
      </w:r>
      <w:r>
        <w:rPr>
          <w:rFonts w:hint="eastAsia" w:ascii="宋体" w:hAnsi="宋体"/>
          <w:sz w:val="24"/>
        </w:rPr>
        <w:t xml:space="preserve"> 分析仪表承包方与静设备承包方工作界面划分：双方以设备本体的第一道法兰为界。该法兰正常维护维修由分析仪表承包方负责，但因工作需要而发生的法兰拆装工作，原则是谁拆装谁负责恢复。</w:t>
      </w:r>
    </w:p>
    <w:p w14:paraId="5728F384">
      <w:pPr>
        <w:spacing w:line="360" w:lineRule="auto"/>
        <w:rPr>
          <w:rFonts w:hint="eastAsia" w:ascii="宋体" w:hAnsi="宋体"/>
          <w:sz w:val="24"/>
        </w:rPr>
      </w:pPr>
      <w:r>
        <w:rPr>
          <w:rFonts w:hint="eastAsia" w:ascii="宋体" w:hAnsi="宋体"/>
          <w:sz w:val="24"/>
        </w:rPr>
        <w:t>4.分析仪表设备维护维修工作质量标准及工作要求</w:t>
      </w:r>
    </w:p>
    <w:p w14:paraId="10E8F6CB">
      <w:pPr>
        <w:spacing w:line="360" w:lineRule="auto"/>
        <w:rPr>
          <w:rFonts w:hint="eastAsia" w:ascii="宋体" w:hAnsi="宋体"/>
          <w:sz w:val="24"/>
        </w:rPr>
      </w:pPr>
      <w:r>
        <w:rPr>
          <w:rFonts w:hint="eastAsia" w:ascii="宋体" w:hAnsi="宋体"/>
          <w:sz w:val="24"/>
        </w:rPr>
        <w:t>4.1分析仪表维护维修工作要求</w:t>
      </w:r>
    </w:p>
    <w:p w14:paraId="5689285E">
      <w:pPr>
        <w:spacing w:line="360" w:lineRule="auto"/>
        <w:rPr>
          <w:rFonts w:hint="eastAsia" w:ascii="宋体" w:hAnsi="宋体"/>
          <w:sz w:val="24"/>
        </w:rPr>
      </w:pPr>
      <w:r>
        <w:rPr>
          <w:rFonts w:hint="eastAsia" w:ascii="宋体" w:hAnsi="宋体"/>
          <w:sz w:val="24"/>
        </w:rPr>
        <w:t>4.</w:t>
      </w:r>
      <w:r>
        <w:rPr>
          <w:rFonts w:hint="eastAsia" w:ascii="宋体" w:hAnsi="宋体"/>
          <w:sz w:val="24"/>
          <w:lang w:val="en-US" w:eastAsia="zh-CN"/>
        </w:rPr>
        <w:t>2</w:t>
      </w:r>
      <w:r>
        <w:rPr>
          <w:rFonts w:hint="eastAsia" w:ascii="宋体" w:hAnsi="宋体"/>
          <w:sz w:val="24"/>
        </w:rPr>
        <w:t>.1日常巡检</w:t>
      </w:r>
    </w:p>
    <w:p w14:paraId="0DEDE518">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分析仪表维护人员按双方确定的频次（受托方签字，委托方抽查）进行仪表巡检，</w:t>
      </w:r>
      <w:r>
        <w:rPr>
          <w:rFonts w:hint="eastAsia" w:ascii="宋体" w:hAnsi="宋体"/>
          <w:sz w:val="24"/>
          <w:lang w:val="en-US" w:eastAsia="zh-CN"/>
        </w:rPr>
        <w:t>A类仪表不少于每天2次，B类仪表不少于每天1次，C类不少于每周一次，</w:t>
      </w:r>
      <w:r>
        <w:rPr>
          <w:rFonts w:hint="eastAsia" w:ascii="宋体" w:hAnsi="宋体"/>
          <w:sz w:val="24"/>
        </w:rPr>
        <w:t>同时将设备的状况作好记录。</w:t>
      </w:r>
    </w:p>
    <w:p w14:paraId="3B65D76E">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对于委托人反映的仪表问题，维护人员应带便携工具在20分钟内到达现场进行诊断分析，满足作业许可的HSE要求后，开始处理问题。</w:t>
      </w:r>
    </w:p>
    <w:p w14:paraId="09A8B602">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按照设备、岗位的</w:t>
      </w:r>
      <w:r>
        <w:rPr>
          <w:rFonts w:hint="eastAsia" w:ascii="宋体" w:hAnsi="宋体"/>
          <w:sz w:val="24"/>
          <w:lang w:val="en-US" w:eastAsia="zh-CN"/>
        </w:rPr>
        <w:t>7</w:t>
      </w:r>
      <w:r>
        <w:rPr>
          <w:rFonts w:hint="eastAsia" w:ascii="宋体" w:hAnsi="宋体"/>
          <w:sz w:val="24"/>
        </w:rPr>
        <w:t>S标准搞好卫生，使设备、机柜间规整清洁。</w:t>
      </w:r>
    </w:p>
    <w:p w14:paraId="476C6D8B">
      <w:pPr>
        <w:spacing w:line="360" w:lineRule="auto"/>
        <w:rPr>
          <w:rFonts w:hint="eastAsia" w:ascii="宋体" w:hAnsi="宋体"/>
          <w:sz w:val="24"/>
        </w:rPr>
      </w:pPr>
      <w:r>
        <w:rPr>
          <w:rFonts w:hint="eastAsia" w:ascii="宋体" w:hAnsi="宋体"/>
          <w:sz w:val="24"/>
        </w:rPr>
        <w:t>4.2.2技术资料</w:t>
      </w:r>
    </w:p>
    <w:p w14:paraId="10C653A3">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做好仪表设备图纸、资料的保管、完善和整理工作。</w:t>
      </w:r>
    </w:p>
    <w:p w14:paraId="21E06351">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补充完善和建立分析仪表台帐和仪表设备档案。</w:t>
      </w:r>
    </w:p>
    <w:p w14:paraId="645185AB">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协助整理和绘制所属范围内的联锁自保逻辑和回路图、完善相关技术书等维护所需图纸、资料。</w:t>
      </w:r>
    </w:p>
    <w:p w14:paraId="485B14EA">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建立分析仪表设备配件消耗台帐。</w:t>
      </w:r>
    </w:p>
    <w:p w14:paraId="70E37DA8">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按时提报维护维修范围内用料的物资申请计划并负责材料的领用。</w:t>
      </w:r>
    </w:p>
    <w:p w14:paraId="5C1944B2">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lang w:eastAsia="zh-CN"/>
        </w:rPr>
        <w:t>）</w:t>
      </w:r>
      <w:r>
        <w:rPr>
          <w:rFonts w:hint="eastAsia" w:ascii="宋体" w:hAnsi="宋体"/>
          <w:sz w:val="24"/>
        </w:rPr>
        <w:t>参与所属装置内分析仪表设备维护维修作业规程的编制完善、使用和修订。</w:t>
      </w:r>
    </w:p>
    <w:p w14:paraId="4EA9527E">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w:t>
      </w:r>
      <w:r>
        <w:rPr>
          <w:rFonts w:hint="eastAsia" w:ascii="宋体" w:hAnsi="宋体"/>
          <w:sz w:val="24"/>
        </w:rPr>
        <w:t>做好分析仪表设备巡检、检修、试验、特护等的各种日常记录。</w:t>
      </w:r>
    </w:p>
    <w:p w14:paraId="7499A6A8">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sz w:val="24"/>
          <w:lang w:eastAsia="zh-CN"/>
        </w:rPr>
        <w:t>）</w:t>
      </w:r>
      <w:r>
        <w:rPr>
          <w:rFonts w:hint="eastAsia" w:ascii="宋体" w:hAnsi="宋体"/>
          <w:sz w:val="24"/>
        </w:rPr>
        <w:t>参与所辖范围内各种异常、故障、事故的调查、分析并提出意见。</w:t>
      </w:r>
    </w:p>
    <w:p w14:paraId="4A38BCD1">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根据分析仪表设备情况提出每年设备大修及更新计划初稿</w:t>
      </w:r>
      <w:r>
        <w:rPr>
          <w:rFonts w:hint="eastAsia" w:ascii="宋体" w:hAnsi="宋体"/>
          <w:sz w:val="24"/>
          <w:lang w:val="en-US" w:eastAsia="zh-CN"/>
        </w:rPr>
        <w:t>至QHSE部审核</w:t>
      </w:r>
      <w:r>
        <w:rPr>
          <w:rFonts w:hint="eastAsia" w:ascii="宋体" w:hAnsi="宋体"/>
          <w:sz w:val="24"/>
        </w:rPr>
        <w:t>。</w:t>
      </w:r>
    </w:p>
    <w:p w14:paraId="4BBAFEBC">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lang w:eastAsia="zh-CN"/>
        </w:rPr>
        <w:t>）</w:t>
      </w:r>
      <w:r>
        <w:rPr>
          <w:rFonts w:hint="eastAsia" w:ascii="宋体" w:hAnsi="宋体"/>
          <w:sz w:val="24"/>
        </w:rPr>
        <w:t>配合相关单位进行装置事故调查。</w:t>
      </w:r>
    </w:p>
    <w:p w14:paraId="7578AB17">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11</w:t>
      </w:r>
      <w:r>
        <w:rPr>
          <w:rFonts w:hint="eastAsia" w:ascii="宋体" w:hAnsi="宋体"/>
          <w:sz w:val="24"/>
          <w:lang w:eastAsia="zh-CN"/>
        </w:rPr>
        <w:t>）</w:t>
      </w:r>
      <w:r>
        <w:rPr>
          <w:rFonts w:hint="eastAsia" w:ascii="宋体" w:hAnsi="宋体"/>
          <w:sz w:val="24"/>
        </w:rPr>
        <w:t>配合完成委托人安排的其它临时性基础工作。</w:t>
      </w:r>
    </w:p>
    <w:p w14:paraId="08AC5EF0">
      <w:pPr>
        <w:spacing w:line="360" w:lineRule="auto"/>
        <w:rPr>
          <w:rFonts w:hint="eastAsia" w:ascii="宋体" w:hAnsi="宋体"/>
          <w:sz w:val="24"/>
        </w:rPr>
      </w:pPr>
      <w:r>
        <w:rPr>
          <w:rFonts w:hint="eastAsia" w:ascii="宋体" w:hAnsi="宋体"/>
          <w:sz w:val="24"/>
        </w:rPr>
        <w:t>4.2.3故障处理</w:t>
      </w:r>
    </w:p>
    <w:p w14:paraId="1B85FF1A">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建立24 小时随时待命制度。</w:t>
      </w:r>
    </w:p>
    <w:p w14:paraId="32595067">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发现问题在满足HSE作业许可的情况下，及时处理故障。根据委托人的要求，对所辖区域的分析仪表进行检查、校验、满足生产需要。</w:t>
      </w:r>
    </w:p>
    <w:p w14:paraId="5DA9DC88">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巡检时发现及委托人反映的仪表故障，应及时组织处理，必要时做到故障处理不过夜，在故障处理中需及时将要更换的备品配件告知委托人。特殊情况下必须征得委托人同意方可延期处理，但必须增加设备的巡检、检查频次，确保装置正常生产。</w:t>
      </w:r>
    </w:p>
    <w:p w14:paraId="583AB4AF">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严格执行自控仪表维护检修操作规程，避免因维护不当导致的生产异常、操作波动甚至设备事故。</w:t>
      </w:r>
    </w:p>
    <w:p w14:paraId="4F2FADFB">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分析仪表维护维修应满足生产需要，做到测量准确，控制灵敏，安全可靠；仪表的</w:t>
      </w:r>
      <w:r>
        <w:rPr>
          <w:rFonts w:hint="eastAsia" w:ascii="宋体" w:hAnsi="宋体"/>
          <w:b/>
          <w:bCs/>
          <w:color w:val="FF0000"/>
          <w:sz w:val="24"/>
          <w:highlight w:val="yellow"/>
          <w:lang w:val="en-US" w:eastAsia="zh-CN"/>
        </w:rPr>
        <w:t>有效率（完好率与准确率）</w:t>
      </w:r>
      <w:r>
        <w:rPr>
          <w:rFonts w:hint="eastAsia" w:ascii="宋体" w:hAnsi="宋体"/>
          <w:b/>
          <w:bCs/>
          <w:color w:val="FF0000"/>
          <w:sz w:val="24"/>
          <w:highlight w:val="yellow"/>
        </w:rPr>
        <w:t>达到9</w:t>
      </w:r>
      <w:r>
        <w:rPr>
          <w:rFonts w:hint="eastAsia" w:ascii="宋体" w:hAnsi="宋体"/>
          <w:b/>
          <w:bCs/>
          <w:color w:val="FF0000"/>
          <w:sz w:val="24"/>
          <w:highlight w:val="yellow"/>
          <w:lang w:val="en-US" w:eastAsia="zh-CN"/>
        </w:rPr>
        <w:t>8</w:t>
      </w:r>
      <w:r>
        <w:rPr>
          <w:rFonts w:hint="eastAsia" w:ascii="宋体" w:hAnsi="宋体"/>
          <w:b/>
          <w:bCs/>
          <w:color w:val="FF0000"/>
          <w:sz w:val="24"/>
          <w:highlight w:val="yellow"/>
        </w:rPr>
        <w:t>%以上</w:t>
      </w:r>
      <w:r>
        <w:rPr>
          <w:rFonts w:hint="eastAsia" w:ascii="宋体" w:hAnsi="宋体"/>
          <w:b/>
          <w:bCs/>
          <w:sz w:val="24"/>
          <w:highlight w:val="yellow"/>
        </w:rPr>
        <w:t>。</w:t>
      </w:r>
    </w:p>
    <w:p w14:paraId="3CBE7A09">
      <w:pPr>
        <w:spacing w:line="360" w:lineRule="auto"/>
        <w:rPr>
          <w:rFonts w:hint="eastAsia" w:ascii="宋体" w:hAnsi="宋体"/>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lang w:eastAsia="zh-CN"/>
        </w:rPr>
        <w:t>）</w:t>
      </w:r>
      <w:r>
        <w:rPr>
          <w:rFonts w:hint="eastAsia" w:ascii="宋体" w:hAnsi="宋体"/>
          <w:sz w:val="24"/>
        </w:rPr>
        <w:t>故障处理后要及时清理现场，做到“工完料净场地清”。</w:t>
      </w:r>
    </w:p>
    <w:p w14:paraId="7E7D6DCE">
      <w:pPr>
        <w:spacing w:line="360" w:lineRule="auto"/>
        <w:rPr>
          <w:rFonts w:hint="eastAsia"/>
          <w:b/>
          <w:sz w:val="24"/>
          <w:szCs w:val="24"/>
        </w:rPr>
      </w:pPr>
      <w:r>
        <w:rPr>
          <w:b/>
          <w:sz w:val="24"/>
          <w:szCs w:val="24"/>
        </w:rPr>
        <w:t>四、人员资质要求</w:t>
      </w:r>
    </w:p>
    <w:sdt>
      <w:sdtPr>
        <w:rPr>
          <w:rFonts w:hint="eastAsia" w:cs="宋体"/>
          <w:sz w:val="24"/>
        </w:rPr>
        <w:id w:val="290436043"/>
        <w:placeholder>
          <w:docPart w:val="7E1E5E2880E741CC9BD329821019EDF0"/>
        </w:placeholder>
      </w:sdtPr>
      <w:sdtEndPr>
        <w:rPr>
          <w:rFonts w:hint="eastAsia" w:cs="Times New Roman"/>
          <w:sz w:val="21"/>
        </w:rPr>
      </w:sdtEndPr>
      <w:sdtContent>
        <w:p w14:paraId="764334C0">
          <w:pPr>
            <w:spacing w:line="400" w:lineRule="exact"/>
            <w:jc w:val="left"/>
            <w:outlineLvl w:val="0"/>
            <w:rPr>
              <w:rFonts w:ascii="宋体"/>
              <w:bCs/>
              <w:szCs w:val="21"/>
            </w:rPr>
          </w:pPr>
          <w:r>
            <w:rPr>
              <w:rFonts w:hint="eastAsia" w:ascii="宋体" w:hAnsi="宋体" w:cs="宋体"/>
              <w:sz w:val="24"/>
            </w:rPr>
            <w:t xml:space="preserve">4.1 </w:t>
          </w:r>
          <w:r>
            <w:rPr>
              <w:rFonts w:hint="eastAsia" w:ascii="宋体" w:hAnsi="宋体"/>
              <w:bCs/>
              <w:szCs w:val="21"/>
            </w:rPr>
            <w:t>表</w:t>
          </w:r>
          <w:r>
            <w:rPr>
              <w:rFonts w:ascii="宋体" w:hAnsi="宋体"/>
              <w:bCs/>
              <w:szCs w:val="21"/>
            </w:rPr>
            <w:t xml:space="preserve">1 </w:t>
          </w:r>
          <w:r>
            <w:rPr>
              <w:rFonts w:hint="eastAsia" w:ascii="宋体" w:hAnsi="宋体"/>
              <w:bCs/>
              <w:szCs w:val="21"/>
            </w:rPr>
            <w:t>服务区域及人员配置</w:t>
          </w:r>
        </w:p>
        <w:tbl>
          <w:tblPr>
            <w:tblStyle w:val="18"/>
            <w:tblW w:w="9187" w:type="dxa"/>
            <w:jc w:val="center"/>
            <w:tblLayout w:type="fixed"/>
            <w:tblCellMar>
              <w:top w:w="0" w:type="dxa"/>
              <w:left w:w="108" w:type="dxa"/>
              <w:bottom w:w="0" w:type="dxa"/>
              <w:right w:w="108" w:type="dxa"/>
            </w:tblCellMar>
          </w:tblPr>
          <w:tblGrid>
            <w:gridCol w:w="1291"/>
            <w:gridCol w:w="2391"/>
            <w:gridCol w:w="2577"/>
            <w:gridCol w:w="1506"/>
            <w:gridCol w:w="1422"/>
          </w:tblGrid>
          <w:tr w14:paraId="577918DE">
            <w:tblPrEx>
              <w:tblCellMar>
                <w:top w:w="0" w:type="dxa"/>
                <w:left w:w="108" w:type="dxa"/>
                <w:bottom w:w="0" w:type="dxa"/>
                <w:right w:w="108" w:type="dxa"/>
              </w:tblCellMar>
            </w:tblPrEx>
            <w:trPr>
              <w:trHeight w:val="375" w:hRule="atLeast"/>
              <w:jc w:val="center"/>
            </w:trPr>
            <w:tc>
              <w:tcPr>
                <w:tcW w:w="3682" w:type="dxa"/>
                <w:gridSpan w:val="2"/>
                <w:tcBorders>
                  <w:top w:val="single" w:color="auto" w:sz="8" w:space="0"/>
                  <w:left w:val="single" w:color="auto" w:sz="8" w:space="0"/>
                  <w:bottom w:val="single" w:color="auto" w:sz="8" w:space="0"/>
                  <w:right w:val="single" w:color="000000" w:sz="8" w:space="0"/>
                </w:tcBorders>
                <w:vAlign w:val="center"/>
              </w:tcPr>
              <w:p w14:paraId="5D2A27C8">
                <w:pPr>
                  <w:jc w:val="center"/>
                  <w:rPr>
                    <w:rFonts w:ascii="宋体" w:cs="宋体"/>
                    <w:b/>
                    <w:bCs/>
                    <w:color w:val="000000"/>
                    <w:sz w:val="24"/>
                  </w:rPr>
                </w:pPr>
                <w:r>
                  <w:rPr>
                    <w:rFonts w:hint="eastAsia" w:ascii="宋体" w:hAnsi="宋体" w:cs="宋体"/>
                    <w:b/>
                    <w:bCs/>
                    <w:color w:val="000000"/>
                    <w:sz w:val="24"/>
                  </w:rPr>
                  <w:t>维护维修区域</w:t>
                </w:r>
              </w:p>
            </w:tc>
            <w:tc>
              <w:tcPr>
                <w:tcW w:w="2577" w:type="dxa"/>
                <w:tcBorders>
                  <w:top w:val="single" w:color="auto" w:sz="8" w:space="0"/>
                  <w:left w:val="nil"/>
                  <w:bottom w:val="single" w:color="auto" w:sz="8" w:space="0"/>
                  <w:right w:val="single" w:color="auto" w:sz="8" w:space="0"/>
                </w:tcBorders>
                <w:vAlign w:val="center"/>
              </w:tcPr>
              <w:p w14:paraId="772C9D32">
                <w:pPr>
                  <w:jc w:val="center"/>
                  <w:rPr>
                    <w:rFonts w:ascii="宋体" w:cs="宋体"/>
                    <w:b/>
                    <w:bCs/>
                    <w:color w:val="000000"/>
                    <w:sz w:val="24"/>
                  </w:rPr>
                </w:pPr>
                <w:r>
                  <w:rPr>
                    <w:rFonts w:hint="eastAsia" w:ascii="宋体" w:hAnsi="宋体" w:cs="宋体"/>
                    <w:b/>
                    <w:bCs/>
                    <w:color w:val="000000"/>
                    <w:sz w:val="24"/>
                  </w:rPr>
                  <w:t>承包商（乙方</w:t>
                </w:r>
                <w:r>
                  <w:rPr>
                    <w:rFonts w:ascii="宋体" w:hAnsi="宋体" w:cs="宋体"/>
                    <w:b/>
                    <w:bCs/>
                    <w:color w:val="000000"/>
                    <w:sz w:val="24"/>
                  </w:rPr>
                  <w:t>/</w:t>
                </w:r>
                <w:r>
                  <w:rPr>
                    <w:rFonts w:hint="eastAsia" w:ascii="宋体" w:hAnsi="宋体" w:cs="宋体"/>
                    <w:b/>
                    <w:bCs/>
                    <w:color w:val="000000"/>
                    <w:sz w:val="24"/>
                  </w:rPr>
                  <w:t>受托人）</w:t>
                </w:r>
              </w:p>
            </w:tc>
            <w:tc>
              <w:tcPr>
                <w:tcW w:w="2928" w:type="dxa"/>
                <w:gridSpan w:val="2"/>
                <w:tcBorders>
                  <w:top w:val="single" w:color="auto" w:sz="8" w:space="0"/>
                  <w:left w:val="nil"/>
                  <w:bottom w:val="single" w:color="auto" w:sz="8" w:space="0"/>
                  <w:right w:val="single" w:color="000000" w:sz="8" w:space="0"/>
                </w:tcBorders>
                <w:vAlign w:val="center"/>
              </w:tcPr>
              <w:p w14:paraId="77D6EC35">
                <w:pPr>
                  <w:jc w:val="center"/>
                  <w:rPr>
                    <w:rFonts w:ascii="宋体" w:cs="宋体"/>
                    <w:b/>
                    <w:bCs/>
                    <w:color w:val="000000"/>
                    <w:sz w:val="24"/>
                  </w:rPr>
                </w:pPr>
                <w:r>
                  <w:rPr>
                    <w:rFonts w:hint="eastAsia" w:ascii="宋体" w:hAnsi="宋体" w:cs="宋体"/>
                    <w:b/>
                    <w:bCs/>
                    <w:color w:val="000000"/>
                    <w:sz w:val="24"/>
                  </w:rPr>
                  <w:t>人员配备</w:t>
                </w:r>
              </w:p>
            </w:tc>
          </w:tr>
          <w:tr w14:paraId="5573990B">
            <w:tblPrEx>
              <w:tblCellMar>
                <w:top w:w="0" w:type="dxa"/>
                <w:left w:w="108" w:type="dxa"/>
                <w:bottom w:w="0" w:type="dxa"/>
                <w:right w:w="108" w:type="dxa"/>
              </w:tblCellMar>
            </w:tblPrEx>
            <w:trPr>
              <w:trHeight w:val="1207" w:hRule="atLeast"/>
              <w:jc w:val="center"/>
            </w:trPr>
            <w:tc>
              <w:tcPr>
                <w:tcW w:w="1291" w:type="dxa"/>
                <w:tcBorders>
                  <w:top w:val="nil"/>
                  <w:left w:val="single" w:color="auto" w:sz="8" w:space="0"/>
                  <w:bottom w:val="single" w:color="000000" w:sz="8" w:space="0"/>
                  <w:right w:val="single" w:color="auto" w:sz="4" w:space="0"/>
                </w:tcBorders>
                <w:vAlign w:val="center"/>
              </w:tcPr>
              <w:p w14:paraId="7B53A19A">
                <w:pPr>
                  <w:jc w:val="center"/>
                  <w:rPr>
                    <w:rFonts w:hint="default" w:ascii="宋体" w:eastAsia="宋体" w:cs="宋体"/>
                    <w:color w:val="000000"/>
                    <w:sz w:val="24"/>
                    <w:highlight w:val="yellow"/>
                    <w:lang w:val="en-US" w:eastAsia="zh-CN"/>
                  </w:rPr>
                </w:pPr>
                <w:r>
                  <w:rPr>
                    <w:rFonts w:hint="eastAsia" w:ascii="宋体" w:cs="宋体"/>
                    <w:color w:val="000000"/>
                    <w:sz w:val="24"/>
                    <w:highlight w:val="yellow"/>
                    <w:lang w:val="en-US" w:eastAsia="zh-CN"/>
                  </w:rPr>
                  <w:t>东南电化</w:t>
                </w:r>
              </w:p>
            </w:tc>
            <w:tc>
              <w:tcPr>
                <w:tcW w:w="2391" w:type="dxa"/>
                <w:tcBorders>
                  <w:top w:val="single" w:color="auto" w:sz="4" w:space="0"/>
                  <w:left w:val="single" w:color="auto" w:sz="4" w:space="0"/>
                  <w:bottom w:val="single" w:color="auto" w:sz="4" w:space="0"/>
                  <w:right w:val="single" w:color="auto" w:sz="4" w:space="0"/>
                </w:tcBorders>
                <w:noWrap/>
                <w:vAlign w:val="center"/>
              </w:tcPr>
              <w:p w14:paraId="066120CC">
                <w:pPr>
                  <w:rPr>
                    <w:rFonts w:hint="default" w:eastAsia="宋体"/>
                    <w:highlight w:val="yellow"/>
                    <w:lang w:val="en-US" w:eastAsia="zh-CN"/>
                  </w:rPr>
                </w:pPr>
                <w:r>
                  <w:rPr>
                    <w:rFonts w:hint="eastAsia"/>
                    <w:highlight w:val="yellow"/>
                  </w:rPr>
                  <w:t>烧碱车间</w:t>
                </w:r>
                <w:r>
                  <w:rPr>
                    <w:rFonts w:hint="eastAsia"/>
                    <w:highlight w:val="yellow"/>
                    <w:lang w:val="en-US" w:eastAsia="zh-CN"/>
                  </w:rPr>
                  <w:t>现有</w:t>
                </w:r>
                <w:r>
                  <w:rPr>
                    <w:rFonts w:hint="eastAsia"/>
                    <w:highlight w:val="yellow"/>
                  </w:rPr>
                  <w:t>仪表数量为</w:t>
                </w:r>
                <w:r>
                  <w:rPr>
                    <w:rFonts w:hint="eastAsia"/>
                    <w:highlight w:val="yellow"/>
                    <w:lang w:val="en-US" w:eastAsia="zh-CN"/>
                  </w:rPr>
                  <w:t>215</w:t>
                </w:r>
                <w:r>
                  <w:rPr>
                    <w:rFonts w:hint="eastAsia"/>
                    <w:highlight w:val="yellow"/>
                  </w:rPr>
                  <w:t>台</w:t>
                </w:r>
                <w:r>
                  <w:rPr>
                    <w:rFonts w:hint="eastAsia"/>
                    <w:highlight w:val="yellow"/>
                    <w:lang w:val="en-US" w:eastAsia="zh-CN"/>
                  </w:rPr>
                  <w:t>。（特殊情况另行调整）</w:t>
                </w:r>
              </w:p>
            </w:tc>
            <w:tc>
              <w:tcPr>
                <w:tcW w:w="2577" w:type="dxa"/>
                <w:tcBorders>
                  <w:top w:val="single" w:color="auto" w:sz="4" w:space="0"/>
                  <w:left w:val="single" w:color="auto" w:sz="4" w:space="0"/>
                  <w:bottom w:val="single" w:color="auto" w:sz="4" w:space="0"/>
                  <w:right w:val="single" w:color="auto" w:sz="4" w:space="0"/>
                </w:tcBorders>
                <w:vAlign w:val="center"/>
              </w:tcPr>
              <w:p w14:paraId="1E65E3BC">
                <w:pPr>
                  <w:jc w:val="center"/>
                  <w:rPr>
                    <w:rFonts w:ascii="宋体" w:cs="宋体"/>
                    <w:color w:val="000000"/>
                    <w:sz w:val="24"/>
                  </w:rPr>
                </w:pPr>
                <w:r>
                  <w:rPr>
                    <w:rFonts w:hint="eastAsia"/>
                  </w:rPr>
                  <w:tab/>
                </w:r>
                <w:r>
                  <w:rPr>
                    <w:rFonts w:hint="eastAsia"/>
                  </w:rPr>
                  <w:t xml:space="preserve"> </w:t>
                </w:r>
                <w:r>
                  <w:t xml:space="preserve">        </w:t>
                </w:r>
              </w:p>
            </w:tc>
            <w:tc>
              <w:tcPr>
                <w:tcW w:w="1506" w:type="dxa"/>
                <w:tcBorders>
                  <w:top w:val="single" w:color="auto" w:sz="4" w:space="0"/>
                  <w:left w:val="single" w:color="auto" w:sz="4" w:space="0"/>
                  <w:bottom w:val="single" w:color="auto" w:sz="4" w:space="0"/>
                  <w:right w:val="single" w:color="auto" w:sz="4" w:space="0"/>
                </w:tcBorders>
                <w:vAlign w:val="center"/>
              </w:tcPr>
              <w:p w14:paraId="00DA5650">
                <w:pPr>
                  <w:jc w:val="center"/>
                  <w:rPr>
                    <w:rFonts w:ascii="宋体" w:cs="宋体"/>
                    <w:color w:val="000000"/>
                    <w:sz w:val="24"/>
                  </w:rPr>
                </w:pPr>
                <w:r>
                  <w:rPr>
                    <w:rFonts w:hint="eastAsia"/>
                  </w:rPr>
                  <w:t>分析仪表专业计划人数</w:t>
                </w:r>
                <w:r>
                  <w:rPr>
                    <w:rFonts w:hint="eastAsia"/>
                  </w:rPr>
                  <w:tab/>
                </w:r>
              </w:p>
            </w:tc>
            <w:tc>
              <w:tcPr>
                <w:tcW w:w="1422" w:type="dxa"/>
                <w:tcBorders>
                  <w:top w:val="single" w:color="auto" w:sz="4" w:space="0"/>
                  <w:left w:val="single" w:color="auto" w:sz="4" w:space="0"/>
                  <w:bottom w:val="single" w:color="auto" w:sz="4" w:space="0"/>
                  <w:right w:val="single" w:color="auto" w:sz="4" w:space="0"/>
                </w:tcBorders>
                <w:vAlign w:val="center"/>
              </w:tcPr>
              <w:p w14:paraId="2B87F7DE">
                <w:pPr>
                  <w:jc w:val="center"/>
                  <w:rPr>
                    <w:rFonts w:ascii="宋体" w:cs="宋体"/>
                    <w:color w:val="000000"/>
                    <w:sz w:val="24"/>
                  </w:rPr>
                </w:pPr>
                <w:r>
                  <w:rPr>
                    <w:rFonts w:hint="eastAsia" w:ascii="宋体" w:cs="宋体"/>
                    <w:color w:val="000000"/>
                    <w:sz w:val="24"/>
                    <w:highlight w:val="yellow"/>
                    <w:lang w:val="en-US" w:eastAsia="zh-CN"/>
                  </w:rPr>
                  <w:t>3</w:t>
                </w:r>
                <w:r>
                  <w:rPr>
                    <w:rFonts w:hint="eastAsia" w:ascii="宋体" w:cs="宋体"/>
                    <w:color w:val="000000"/>
                    <w:sz w:val="24"/>
                    <w:highlight w:val="yellow"/>
                  </w:rPr>
                  <w:t>人</w:t>
                </w:r>
              </w:p>
            </w:tc>
          </w:tr>
        </w:tbl>
        <w:p w14:paraId="40DF74C1">
          <w:pPr>
            <w:spacing w:line="400" w:lineRule="exact"/>
            <w:ind w:left="240" w:hanging="240" w:hangingChars="100"/>
            <w:outlineLvl w:val="0"/>
            <w:rPr>
              <w:rFonts w:ascii="宋体" w:hAnsi="宋体"/>
              <w:bCs/>
              <w:color w:val="FF0000"/>
              <w:sz w:val="24"/>
            </w:rPr>
          </w:pPr>
          <w:r>
            <w:rPr>
              <w:rFonts w:hint="eastAsia" w:ascii="宋体" w:hAnsi="宋体"/>
              <w:bCs/>
              <w:sz w:val="24"/>
            </w:rPr>
            <w:t>注：分析仪表情况见本合同</w:t>
          </w:r>
          <w:r>
            <w:rPr>
              <w:rFonts w:hint="eastAsia" w:ascii="宋体" w:hAnsi="宋体"/>
              <w:bCs/>
              <w:sz w:val="24"/>
              <w:highlight w:val="yellow"/>
              <w:lang w:val="en-US" w:eastAsia="zh-CN"/>
            </w:rPr>
            <w:t>附件一</w:t>
          </w:r>
          <w:r>
            <w:rPr>
              <w:rFonts w:hint="eastAsia" w:ascii="宋体" w:hAnsi="宋体"/>
              <w:bCs/>
              <w:sz w:val="24"/>
              <w:highlight w:val="yellow"/>
            </w:rPr>
            <w:t>《</w:t>
          </w:r>
          <w:r>
            <w:rPr>
              <w:rFonts w:hint="eastAsia" w:ascii="宋体" w:hAnsi="宋体"/>
              <w:bCs/>
              <w:sz w:val="24"/>
              <w:highlight w:val="yellow"/>
              <w:lang w:val="en-US" w:eastAsia="zh-CN"/>
            </w:rPr>
            <w:t>在线</w:t>
          </w:r>
          <w:r>
            <w:rPr>
              <w:rFonts w:hint="eastAsia" w:ascii="宋体" w:hAnsi="宋体"/>
              <w:bCs/>
              <w:sz w:val="24"/>
              <w:highlight w:val="yellow"/>
            </w:rPr>
            <w:t>分析仪表台</w:t>
          </w:r>
          <w:bookmarkStart w:id="1" w:name="_GoBack"/>
          <w:bookmarkEnd w:id="1"/>
          <w:r>
            <w:rPr>
              <w:rFonts w:hint="eastAsia" w:ascii="宋体" w:hAnsi="宋体"/>
              <w:bCs/>
              <w:sz w:val="24"/>
              <w:highlight w:val="yellow"/>
            </w:rPr>
            <w:t>账》</w:t>
          </w:r>
          <w:r>
            <w:rPr>
              <w:rFonts w:hint="eastAsia" w:ascii="宋体" w:hAnsi="宋体"/>
              <w:bCs/>
              <w:sz w:val="24"/>
            </w:rPr>
            <w:t>，后续根据委托方新上项目及区域调整情况，对维保区域进行调整，经委托方审核批准后，增加或减少人员，新增或减少人员以</w:t>
          </w:r>
          <w:r>
            <w:rPr>
              <w:rFonts w:hint="eastAsia" w:ascii="宋体" w:hAnsi="宋体"/>
              <w:bCs/>
              <w:sz w:val="24"/>
              <w:lang w:val="en-US" w:eastAsia="zh-CN"/>
            </w:rPr>
            <w:t>补充合同</w:t>
          </w:r>
          <w:r>
            <w:rPr>
              <w:rFonts w:hint="eastAsia" w:ascii="宋体" w:hAnsi="宋体"/>
              <w:bCs/>
              <w:sz w:val="24"/>
            </w:rPr>
            <w:t>的形式纳</w:t>
          </w:r>
          <w:r>
            <w:rPr>
              <w:rFonts w:hint="eastAsia" w:ascii="宋体" w:hAnsi="宋体"/>
              <w:bCs/>
              <w:color w:val="000000" w:themeColor="text1"/>
              <w:sz w:val="24"/>
              <w14:textFill>
                <w14:solidFill>
                  <w14:schemeClr w14:val="tx1"/>
                </w14:solidFill>
              </w14:textFill>
            </w:rPr>
            <w:t>入合同。</w:t>
          </w:r>
        </w:p>
        <w:p w14:paraId="743C86B9">
          <w:pPr>
            <w:pStyle w:val="42"/>
            <w:spacing w:line="400" w:lineRule="exact"/>
            <w:ind w:left="420" w:firstLine="0" w:firstLineChars="0"/>
            <w:jc w:val="left"/>
            <w:outlineLvl w:val="0"/>
            <w:rPr>
              <w:rStyle w:val="43"/>
              <w:rFonts w:hAnsiTheme="majorHAnsi"/>
              <w:b/>
              <w:bCs/>
            </w:rPr>
          </w:pPr>
          <w:r>
            <w:rPr>
              <w:rFonts w:hint="eastAsia" w:ascii="宋体" w:hAnsi="宋体"/>
              <w:b/>
              <w:bCs/>
              <w:sz w:val="24"/>
            </w:rPr>
            <w:t>4.2人员资质要求</w:t>
          </w:r>
        </w:p>
        <w:tbl>
          <w:tblPr>
            <w:tblStyle w:val="18"/>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20"/>
            <w:gridCol w:w="5300"/>
            <w:gridCol w:w="1290"/>
          </w:tblGrid>
          <w:tr w14:paraId="52EB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6" w:type="dxa"/>
                <w:tcBorders>
                  <w:top w:val="single" w:color="auto" w:sz="4" w:space="0"/>
                  <w:left w:val="single" w:color="auto" w:sz="4" w:space="0"/>
                  <w:bottom w:val="single" w:color="auto" w:sz="4" w:space="0"/>
                  <w:right w:val="single" w:color="auto" w:sz="4" w:space="0"/>
                </w:tcBorders>
                <w:vAlign w:val="center"/>
              </w:tcPr>
              <w:p w14:paraId="098DA911">
                <w:pPr>
                  <w:jc w:val="center"/>
                  <w:rPr>
                    <w:sz w:val="24"/>
                  </w:rPr>
                </w:pPr>
                <w:r>
                  <w:rPr>
                    <w:rFonts w:hint="eastAsia"/>
                    <w:sz w:val="24"/>
                  </w:rPr>
                  <w:t>序号</w:t>
                </w:r>
              </w:p>
            </w:tc>
            <w:tc>
              <w:tcPr>
                <w:tcW w:w="1820" w:type="dxa"/>
                <w:tcBorders>
                  <w:top w:val="single" w:color="auto" w:sz="4" w:space="0"/>
                  <w:left w:val="single" w:color="auto" w:sz="4" w:space="0"/>
                  <w:bottom w:val="single" w:color="auto" w:sz="4" w:space="0"/>
                  <w:right w:val="single" w:color="auto" w:sz="4" w:space="0"/>
                </w:tcBorders>
                <w:vAlign w:val="center"/>
              </w:tcPr>
              <w:p w14:paraId="0872EE12">
                <w:pPr>
                  <w:jc w:val="center"/>
                  <w:rPr>
                    <w:sz w:val="24"/>
                  </w:rPr>
                </w:pPr>
                <w:r>
                  <w:rPr>
                    <w:rFonts w:hint="eastAsia"/>
                    <w:sz w:val="24"/>
                  </w:rPr>
                  <w:t>工种及专业</w:t>
                </w:r>
              </w:p>
            </w:tc>
            <w:tc>
              <w:tcPr>
                <w:tcW w:w="5300" w:type="dxa"/>
                <w:tcBorders>
                  <w:top w:val="single" w:color="auto" w:sz="4" w:space="0"/>
                  <w:left w:val="single" w:color="auto" w:sz="4" w:space="0"/>
                  <w:bottom w:val="single" w:color="auto" w:sz="4" w:space="0"/>
                  <w:right w:val="single" w:color="auto" w:sz="4" w:space="0"/>
                </w:tcBorders>
                <w:vAlign w:val="center"/>
              </w:tcPr>
              <w:p w14:paraId="298964BD">
                <w:pPr>
                  <w:jc w:val="center"/>
                  <w:rPr>
                    <w:sz w:val="24"/>
                  </w:rPr>
                </w:pPr>
                <w:r>
                  <w:rPr>
                    <w:rFonts w:hint="eastAsia"/>
                    <w:sz w:val="24"/>
                  </w:rPr>
                  <w:t>人员资质要求</w:t>
                </w:r>
              </w:p>
            </w:tc>
            <w:tc>
              <w:tcPr>
                <w:tcW w:w="1290" w:type="dxa"/>
                <w:tcBorders>
                  <w:top w:val="single" w:color="auto" w:sz="4" w:space="0"/>
                  <w:left w:val="single" w:color="auto" w:sz="4" w:space="0"/>
                  <w:bottom w:val="single" w:color="auto" w:sz="4" w:space="0"/>
                  <w:right w:val="single" w:color="auto" w:sz="4" w:space="0"/>
                </w:tcBorders>
                <w:vAlign w:val="center"/>
              </w:tcPr>
              <w:p w14:paraId="679ED7CC">
                <w:pPr>
                  <w:rPr>
                    <w:sz w:val="24"/>
                  </w:rPr>
                </w:pPr>
                <w:r>
                  <w:rPr>
                    <w:rFonts w:hint="eastAsia"/>
                    <w:sz w:val="24"/>
                  </w:rPr>
                  <w:t>总计</w:t>
                </w:r>
                <w:r>
                  <w:rPr>
                    <w:rFonts w:hint="eastAsia"/>
                    <w:sz w:val="24"/>
                    <w:lang w:val="en-US" w:eastAsia="zh-CN"/>
                  </w:rPr>
                  <w:t>4</w:t>
                </w:r>
                <w:r>
                  <w:rPr>
                    <w:rFonts w:hint="eastAsia"/>
                    <w:sz w:val="24"/>
                  </w:rPr>
                  <w:t>人</w:t>
                </w:r>
              </w:p>
            </w:tc>
          </w:tr>
          <w:tr w14:paraId="2067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16" w:type="dxa"/>
                <w:tcBorders>
                  <w:top w:val="single" w:color="auto" w:sz="4" w:space="0"/>
                  <w:left w:val="single" w:color="auto" w:sz="4" w:space="0"/>
                  <w:bottom w:val="single" w:color="auto" w:sz="4" w:space="0"/>
                  <w:right w:val="single" w:color="auto" w:sz="4" w:space="0"/>
                </w:tcBorders>
                <w:vAlign w:val="center"/>
              </w:tcPr>
              <w:p w14:paraId="41FACA57">
                <w:pPr>
                  <w:ind w:firstLine="240" w:firstLineChars="100"/>
                  <w:rPr>
                    <w:sz w:val="24"/>
                  </w:rPr>
                </w:pPr>
                <w:r>
                  <w:rPr>
                    <w:sz w:val="24"/>
                  </w:rPr>
                  <w:t>1</w:t>
                </w:r>
              </w:p>
            </w:tc>
            <w:tc>
              <w:tcPr>
                <w:tcW w:w="1820" w:type="dxa"/>
                <w:tcBorders>
                  <w:top w:val="single" w:color="auto" w:sz="4" w:space="0"/>
                  <w:left w:val="single" w:color="auto" w:sz="4" w:space="0"/>
                  <w:bottom w:val="single" w:color="auto" w:sz="4" w:space="0"/>
                  <w:right w:val="single" w:color="auto" w:sz="4" w:space="0"/>
                </w:tcBorders>
                <w:vAlign w:val="center"/>
              </w:tcPr>
              <w:p w14:paraId="20FD7D52">
                <w:pPr>
                  <w:jc w:val="center"/>
                  <w:rPr>
                    <w:rFonts w:ascii="宋体"/>
                    <w:sz w:val="24"/>
                  </w:rPr>
                </w:pPr>
                <w:r>
                  <w:rPr>
                    <w:rFonts w:hint="eastAsia" w:ascii="宋体" w:hAnsi="宋体"/>
                    <w:sz w:val="24"/>
                  </w:rPr>
                  <w:t>经理（工程师）</w:t>
                </w:r>
              </w:p>
            </w:tc>
            <w:tc>
              <w:tcPr>
                <w:tcW w:w="5300" w:type="dxa"/>
                <w:tcBorders>
                  <w:top w:val="single" w:color="auto" w:sz="4" w:space="0"/>
                  <w:left w:val="single" w:color="auto" w:sz="4" w:space="0"/>
                  <w:bottom w:val="single" w:color="auto" w:sz="4" w:space="0"/>
                  <w:right w:val="single" w:color="auto" w:sz="4" w:space="0"/>
                </w:tcBorders>
              </w:tcPr>
              <w:p w14:paraId="29F6E98A">
                <w:pPr>
                  <w:rPr>
                    <w:rFonts w:ascii="宋体"/>
                    <w:sz w:val="24"/>
                  </w:rPr>
                </w:pPr>
                <w:r>
                  <w:rPr>
                    <w:rFonts w:hint="eastAsia" w:ascii="宋体" w:hAnsi="宋体"/>
                    <w:sz w:val="24"/>
                    <w:highlight w:val="yellow"/>
                    <w:lang w:val="en-US" w:eastAsia="zh-CN"/>
                  </w:rPr>
                  <w:t>具有</w:t>
                </w:r>
                <w:r>
                  <w:rPr>
                    <w:rFonts w:hint="eastAsia" w:ascii="宋体" w:hAnsi="宋体"/>
                    <w:sz w:val="24"/>
                    <w:highlight w:val="yellow"/>
                  </w:rPr>
                  <w:t>化工自动化控制仪表</w:t>
                </w:r>
                <w:r>
                  <w:rPr>
                    <w:rFonts w:hint="eastAsia" w:ascii="宋体" w:hAnsi="宋体"/>
                    <w:sz w:val="24"/>
                    <w:highlight w:val="yellow"/>
                    <w:lang w:val="en-US" w:eastAsia="zh-CN"/>
                  </w:rPr>
                  <w:t>特种作业证，</w:t>
                </w:r>
                <w:r>
                  <w:rPr>
                    <w:rFonts w:hint="eastAsia" w:ascii="宋体" w:hAnsi="宋体"/>
                    <w:sz w:val="24"/>
                  </w:rPr>
                  <w:t>分析仪表专业工作年限</w:t>
                </w:r>
                <w:r>
                  <w:rPr>
                    <w:rFonts w:hint="eastAsia" w:ascii="宋体" w:hAnsi="宋体"/>
                    <w:sz w:val="24"/>
                    <w:lang w:val="en-US" w:eastAsia="zh-CN"/>
                  </w:rPr>
                  <w:t>5</w:t>
                </w:r>
                <w:r>
                  <w:rPr>
                    <w:rFonts w:hint="eastAsia" w:ascii="宋体" w:hAnsi="宋体"/>
                    <w:sz w:val="24"/>
                  </w:rPr>
                  <w:t>年及以上，专科及以上学历；中级工程师职称及以上；精通ORP、</w:t>
                </w:r>
                <w:r>
                  <w:rPr>
                    <w:rFonts w:hint="eastAsia" w:ascii="宋体" w:hAnsi="宋体"/>
                    <w:sz w:val="24"/>
                    <w:lang w:val="en-US" w:eastAsia="zh-CN"/>
                  </w:rPr>
                  <w:t>在线色谱</w:t>
                </w:r>
                <w:r>
                  <w:rPr>
                    <w:rFonts w:hint="eastAsia" w:ascii="宋体" w:hAnsi="宋体"/>
                    <w:sz w:val="24"/>
                  </w:rPr>
                  <w:t>分析仪、</w:t>
                </w:r>
                <w:r>
                  <w:rPr>
                    <w:rFonts w:hint="eastAsia" w:ascii="宋体" w:hAnsi="宋体"/>
                    <w:sz w:val="24"/>
                    <w:lang w:val="en-US" w:eastAsia="zh-CN"/>
                  </w:rPr>
                  <w:t>氯气水分仪、盐水钙镁分析仪、</w:t>
                </w:r>
                <w:r>
                  <w:rPr>
                    <w:rFonts w:hint="eastAsia" w:ascii="宋体" w:hAnsi="宋体"/>
                    <w:sz w:val="24"/>
                  </w:rPr>
                  <w:t>水质表、密度计等分析仪表。</w:t>
                </w:r>
              </w:p>
            </w:tc>
            <w:tc>
              <w:tcPr>
                <w:tcW w:w="1290" w:type="dxa"/>
                <w:tcBorders>
                  <w:top w:val="single" w:color="auto" w:sz="4" w:space="0"/>
                  <w:left w:val="single" w:color="auto" w:sz="4" w:space="0"/>
                  <w:bottom w:val="single" w:color="auto" w:sz="4" w:space="0"/>
                  <w:right w:val="single" w:color="auto" w:sz="4" w:space="0"/>
                </w:tcBorders>
                <w:vAlign w:val="center"/>
              </w:tcPr>
              <w:p w14:paraId="3E74658A">
                <w:pPr>
                  <w:jc w:val="center"/>
                  <w:rPr>
                    <w:sz w:val="24"/>
                  </w:rPr>
                </w:pPr>
                <w:r>
                  <w:rPr>
                    <w:rFonts w:hint="eastAsia"/>
                    <w:sz w:val="24"/>
                  </w:rPr>
                  <w:t>1人</w:t>
                </w:r>
              </w:p>
            </w:tc>
          </w:tr>
          <w:tr w14:paraId="7F78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6" w:type="dxa"/>
                <w:tcBorders>
                  <w:top w:val="single" w:color="auto" w:sz="4" w:space="0"/>
                  <w:left w:val="single" w:color="auto" w:sz="4" w:space="0"/>
                  <w:bottom w:val="single" w:color="auto" w:sz="4" w:space="0"/>
                  <w:right w:val="single" w:color="auto" w:sz="4" w:space="0"/>
                </w:tcBorders>
                <w:vAlign w:val="center"/>
              </w:tcPr>
              <w:p w14:paraId="5712382A">
                <w:pPr>
                  <w:ind w:firstLine="240" w:firstLineChars="100"/>
                  <w:rPr>
                    <w:sz w:val="24"/>
                  </w:rPr>
                </w:pPr>
                <w:r>
                  <w:rPr>
                    <w:sz w:val="24"/>
                  </w:rPr>
                  <w:t>2</w:t>
                </w:r>
              </w:p>
            </w:tc>
            <w:tc>
              <w:tcPr>
                <w:tcW w:w="1820" w:type="dxa"/>
                <w:tcBorders>
                  <w:top w:val="single" w:color="auto" w:sz="4" w:space="0"/>
                  <w:left w:val="single" w:color="auto" w:sz="4" w:space="0"/>
                  <w:bottom w:val="single" w:color="auto" w:sz="4" w:space="0"/>
                  <w:right w:val="single" w:color="auto" w:sz="4" w:space="0"/>
                </w:tcBorders>
                <w:vAlign w:val="center"/>
              </w:tcPr>
              <w:p w14:paraId="538099D6">
                <w:pPr>
                  <w:jc w:val="center"/>
                  <w:rPr>
                    <w:rFonts w:ascii="宋体"/>
                    <w:sz w:val="24"/>
                  </w:rPr>
                </w:pPr>
                <w:r>
                  <w:rPr>
                    <w:rFonts w:hint="eastAsia" w:ascii="宋体" w:hAnsi="宋体"/>
                    <w:sz w:val="24"/>
                  </w:rPr>
                  <w:t>高级工</w:t>
                </w:r>
              </w:p>
            </w:tc>
            <w:tc>
              <w:tcPr>
                <w:tcW w:w="5300" w:type="dxa"/>
                <w:tcBorders>
                  <w:top w:val="single" w:color="auto" w:sz="4" w:space="0"/>
                  <w:left w:val="single" w:color="auto" w:sz="4" w:space="0"/>
                  <w:bottom w:val="single" w:color="auto" w:sz="4" w:space="0"/>
                  <w:right w:val="single" w:color="auto" w:sz="4" w:space="0"/>
                </w:tcBorders>
              </w:tcPr>
              <w:p w14:paraId="3BF0FCC4">
                <w:pPr>
                  <w:rPr>
                    <w:rFonts w:hint="eastAsia" w:ascii="宋体" w:eastAsia="宋体"/>
                    <w:sz w:val="24"/>
                    <w:lang w:val="en-US" w:eastAsia="zh-CN"/>
                  </w:rPr>
                </w:pPr>
                <w:r>
                  <w:rPr>
                    <w:rFonts w:hint="eastAsia" w:ascii="宋体" w:hAnsi="宋体"/>
                    <w:sz w:val="24"/>
                    <w:highlight w:val="yellow"/>
                    <w:lang w:val="en-US" w:eastAsia="zh-CN"/>
                  </w:rPr>
                  <w:t>具有</w:t>
                </w:r>
                <w:r>
                  <w:rPr>
                    <w:rFonts w:hint="eastAsia" w:ascii="宋体" w:hAnsi="宋体"/>
                    <w:sz w:val="24"/>
                    <w:highlight w:val="yellow"/>
                  </w:rPr>
                  <w:t>化工自动化控制仪表</w:t>
                </w:r>
                <w:r>
                  <w:rPr>
                    <w:rFonts w:hint="eastAsia" w:ascii="宋体" w:hAnsi="宋体"/>
                    <w:sz w:val="24"/>
                    <w:highlight w:val="yellow"/>
                    <w:lang w:val="en-US" w:eastAsia="zh-CN"/>
                  </w:rPr>
                  <w:t>特种作业证，</w:t>
                </w:r>
                <w:r>
                  <w:rPr>
                    <w:rFonts w:hint="eastAsia" w:ascii="宋体" w:hAnsi="宋体"/>
                    <w:sz w:val="24"/>
                  </w:rPr>
                  <w:t>工作年限</w:t>
                </w:r>
                <w:r>
                  <w:rPr>
                    <w:rFonts w:hint="eastAsia" w:ascii="宋体" w:hAnsi="宋体"/>
                    <w:sz w:val="24"/>
                    <w:lang w:val="en-US" w:eastAsia="zh-CN"/>
                  </w:rPr>
                  <w:t>4</w:t>
                </w:r>
                <w:r>
                  <w:rPr>
                    <w:rFonts w:hint="eastAsia" w:ascii="宋体" w:hAnsi="宋体"/>
                    <w:sz w:val="24"/>
                  </w:rPr>
                  <w:t>年及以上，专科及以上学历；熟练操作ORP、</w:t>
                </w:r>
                <w:r>
                  <w:rPr>
                    <w:rFonts w:hint="eastAsia" w:ascii="宋体" w:hAnsi="宋体"/>
                    <w:sz w:val="24"/>
                    <w:lang w:val="en-US" w:eastAsia="zh-CN"/>
                  </w:rPr>
                  <w:t>在线色谱分析仪、氯气水分仪、</w:t>
                </w:r>
                <w:r>
                  <w:rPr>
                    <w:rFonts w:hint="eastAsia" w:ascii="宋体" w:hAnsi="宋体"/>
                    <w:sz w:val="24"/>
                  </w:rPr>
                  <w:t>连续分析仪、水质表、密度计等分析仪表</w:t>
                </w:r>
                <w:r>
                  <w:rPr>
                    <w:rFonts w:hint="eastAsia" w:ascii="宋体" w:hAnsi="宋体"/>
                    <w:sz w:val="24"/>
                    <w:lang w:eastAsia="zh-CN"/>
                  </w:rPr>
                  <w:t>。</w:t>
                </w:r>
              </w:p>
            </w:tc>
            <w:tc>
              <w:tcPr>
                <w:tcW w:w="1290" w:type="dxa"/>
                <w:tcBorders>
                  <w:top w:val="single" w:color="auto" w:sz="4" w:space="0"/>
                  <w:left w:val="single" w:color="auto" w:sz="4" w:space="0"/>
                  <w:bottom w:val="single" w:color="auto" w:sz="4" w:space="0"/>
                  <w:right w:val="single" w:color="auto" w:sz="4" w:space="0"/>
                </w:tcBorders>
                <w:vAlign w:val="center"/>
              </w:tcPr>
              <w:p w14:paraId="61AF9ECD">
                <w:pPr>
                  <w:jc w:val="center"/>
                  <w:rPr>
                    <w:sz w:val="24"/>
                  </w:rPr>
                </w:pPr>
                <w:r>
                  <w:rPr>
                    <w:rFonts w:hint="eastAsia"/>
                    <w:sz w:val="24"/>
                  </w:rPr>
                  <w:t>1人</w:t>
                </w:r>
              </w:p>
            </w:tc>
          </w:tr>
          <w:tr w14:paraId="7EAC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6" w:type="dxa"/>
                <w:tcBorders>
                  <w:top w:val="single" w:color="auto" w:sz="4" w:space="0"/>
                  <w:left w:val="single" w:color="auto" w:sz="4" w:space="0"/>
                  <w:bottom w:val="single" w:color="auto" w:sz="4" w:space="0"/>
                  <w:right w:val="single" w:color="auto" w:sz="4" w:space="0"/>
                </w:tcBorders>
                <w:vAlign w:val="center"/>
              </w:tcPr>
              <w:p w14:paraId="7D8A08FB">
                <w:pPr>
                  <w:jc w:val="center"/>
                  <w:rPr>
                    <w:sz w:val="24"/>
                  </w:rPr>
                </w:pPr>
                <w:r>
                  <w:rPr>
                    <w:sz w:val="24"/>
                  </w:rPr>
                  <w:t>3</w:t>
                </w:r>
              </w:p>
            </w:tc>
            <w:tc>
              <w:tcPr>
                <w:tcW w:w="1820" w:type="dxa"/>
                <w:tcBorders>
                  <w:top w:val="single" w:color="auto" w:sz="4" w:space="0"/>
                  <w:left w:val="single" w:color="auto" w:sz="4" w:space="0"/>
                  <w:bottom w:val="single" w:color="auto" w:sz="4" w:space="0"/>
                  <w:right w:val="single" w:color="auto" w:sz="4" w:space="0"/>
                </w:tcBorders>
                <w:vAlign w:val="center"/>
              </w:tcPr>
              <w:p w14:paraId="7638246E">
                <w:pPr>
                  <w:jc w:val="center"/>
                  <w:rPr>
                    <w:rFonts w:ascii="宋体"/>
                    <w:sz w:val="24"/>
                  </w:rPr>
                </w:pPr>
                <w:r>
                  <w:rPr>
                    <w:rFonts w:hint="eastAsia" w:ascii="宋体" w:hAnsi="宋体"/>
                    <w:sz w:val="24"/>
                  </w:rPr>
                  <w:t>中级工</w:t>
                </w:r>
              </w:p>
            </w:tc>
            <w:tc>
              <w:tcPr>
                <w:tcW w:w="5300" w:type="dxa"/>
                <w:tcBorders>
                  <w:top w:val="single" w:color="auto" w:sz="4" w:space="0"/>
                  <w:left w:val="single" w:color="auto" w:sz="4" w:space="0"/>
                  <w:bottom w:val="single" w:color="auto" w:sz="4" w:space="0"/>
                  <w:right w:val="single" w:color="auto" w:sz="4" w:space="0"/>
                </w:tcBorders>
              </w:tcPr>
              <w:p w14:paraId="57203F83">
                <w:pPr>
                  <w:rPr>
                    <w:rFonts w:hint="eastAsia" w:ascii="宋体" w:eastAsia="宋体"/>
                    <w:sz w:val="24"/>
                    <w:lang w:eastAsia="zh-CN"/>
                  </w:rPr>
                </w:pPr>
                <w:r>
                  <w:rPr>
                    <w:rFonts w:hint="eastAsia" w:ascii="宋体" w:hAnsi="宋体"/>
                    <w:sz w:val="24"/>
                    <w:highlight w:val="yellow"/>
                    <w:lang w:val="en-US" w:eastAsia="zh-CN"/>
                  </w:rPr>
                  <w:t>具有</w:t>
                </w:r>
                <w:r>
                  <w:rPr>
                    <w:rFonts w:hint="eastAsia" w:ascii="宋体" w:hAnsi="宋体"/>
                    <w:sz w:val="24"/>
                    <w:highlight w:val="yellow"/>
                  </w:rPr>
                  <w:t>化工自动化控制仪表</w:t>
                </w:r>
                <w:r>
                  <w:rPr>
                    <w:rFonts w:hint="eastAsia" w:ascii="宋体" w:hAnsi="宋体"/>
                    <w:sz w:val="24"/>
                    <w:highlight w:val="yellow"/>
                    <w:lang w:val="en-US" w:eastAsia="zh-CN"/>
                  </w:rPr>
                  <w:t>特种作业证，</w:t>
                </w:r>
                <w:r>
                  <w:rPr>
                    <w:rFonts w:hint="eastAsia" w:ascii="宋体" w:hAnsi="宋体"/>
                    <w:sz w:val="24"/>
                  </w:rPr>
                  <w:t>相关专业工作</w:t>
                </w:r>
                <w:r>
                  <w:rPr>
                    <w:rFonts w:hint="eastAsia" w:ascii="宋体" w:hAnsi="宋体"/>
                    <w:sz w:val="24"/>
                    <w:lang w:val="en-US" w:eastAsia="zh-CN"/>
                  </w:rPr>
                  <w:t>2</w:t>
                </w:r>
                <w:r>
                  <w:rPr>
                    <w:rFonts w:hint="eastAsia" w:ascii="宋体" w:hAnsi="宋体"/>
                    <w:sz w:val="24"/>
                  </w:rPr>
                  <w:t>年以上，具备独立工作能力，职高及以上学历；了解分析仪表基础知识，要求勤学苦干</w:t>
                </w:r>
                <w:r>
                  <w:rPr>
                    <w:rFonts w:hint="eastAsia" w:ascii="宋体" w:hAnsi="宋体"/>
                    <w:sz w:val="24"/>
                    <w:lang w:eastAsia="zh-CN"/>
                  </w:rPr>
                  <w:t>。</w:t>
                </w:r>
              </w:p>
            </w:tc>
            <w:tc>
              <w:tcPr>
                <w:tcW w:w="1290" w:type="dxa"/>
                <w:tcBorders>
                  <w:top w:val="single" w:color="auto" w:sz="4" w:space="0"/>
                  <w:left w:val="single" w:color="auto" w:sz="4" w:space="0"/>
                  <w:bottom w:val="single" w:color="auto" w:sz="4" w:space="0"/>
                  <w:right w:val="single" w:color="auto" w:sz="4" w:space="0"/>
                </w:tcBorders>
                <w:vAlign w:val="center"/>
              </w:tcPr>
              <w:p w14:paraId="3A80EDE6">
                <w:pPr>
                  <w:jc w:val="center"/>
                  <w:rPr>
                    <w:sz w:val="24"/>
                  </w:rPr>
                </w:pPr>
                <w:r>
                  <w:rPr>
                    <w:rFonts w:hint="eastAsia"/>
                    <w:color w:val="000000" w:themeColor="text1"/>
                    <w:sz w:val="24"/>
                    <w:highlight w:val="yellow"/>
                    <w:lang w:val="en-US" w:eastAsia="zh-CN"/>
                    <w14:textFill>
                      <w14:solidFill>
                        <w14:schemeClr w14:val="tx1"/>
                      </w14:solidFill>
                    </w14:textFill>
                  </w:rPr>
                  <w:t>1</w:t>
                </w:r>
                <w:r>
                  <w:rPr>
                    <w:rFonts w:hint="eastAsia"/>
                    <w:color w:val="000000" w:themeColor="text1"/>
                    <w:sz w:val="24"/>
                    <w:highlight w:val="yellow"/>
                    <w14:textFill>
                      <w14:solidFill>
                        <w14:schemeClr w14:val="tx1"/>
                      </w14:solidFill>
                    </w14:textFill>
                  </w:rPr>
                  <w:t>人</w:t>
                </w:r>
              </w:p>
            </w:tc>
          </w:tr>
        </w:tbl>
        <w:p w14:paraId="46BB4110">
          <w:pPr>
            <w:spacing w:line="400" w:lineRule="exact"/>
            <w:outlineLvl w:val="0"/>
            <w:rPr>
              <w:rFonts w:ascii="宋体"/>
              <w:b/>
              <w:bCs/>
              <w:sz w:val="24"/>
            </w:rPr>
          </w:pPr>
          <w:r>
            <w:rPr>
              <w:rFonts w:hint="eastAsia" w:ascii="宋体" w:hAnsi="宋体"/>
              <w:b/>
              <w:bCs/>
              <w:sz w:val="24"/>
            </w:rPr>
            <w:t>4.3</w:t>
          </w:r>
          <w:r>
            <w:rPr>
              <w:rFonts w:hint="eastAsia" w:ascii="宋体" w:hAnsi="宋体"/>
              <w:b/>
              <w:bCs/>
              <w:sz w:val="24"/>
              <w:lang w:val="en-US" w:eastAsia="zh-CN"/>
            </w:rPr>
            <w:t xml:space="preserve"> </w:t>
          </w:r>
          <w:r>
            <w:rPr>
              <w:rFonts w:hint="eastAsia" w:ascii="宋体" w:hAnsi="宋体"/>
              <w:b/>
              <w:bCs/>
              <w:sz w:val="24"/>
            </w:rPr>
            <w:t>关于上表内容的说明</w:t>
          </w:r>
        </w:p>
        <w:p w14:paraId="245DD76A">
          <w:pPr>
            <w:spacing w:line="400" w:lineRule="exact"/>
            <w:ind w:firstLine="360" w:firstLineChars="150"/>
            <w:outlineLvl w:val="0"/>
            <w:rPr>
              <w:rFonts w:ascii="宋体"/>
              <w:bCs/>
              <w:sz w:val="24"/>
              <w:highlight w:val="yellow"/>
            </w:rPr>
          </w:pPr>
          <w:r>
            <w:rPr>
              <w:rFonts w:ascii="宋体"/>
              <w:bCs/>
              <w:sz w:val="24"/>
            </w:rPr>
            <w:t>1</w:t>
          </w:r>
          <w:r>
            <w:rPr>
              <w:rFonts w:hint="eastAsia" w:ascii="宋体"/>
              <w:bCs/>
              <w:sz w:val="24"/>
            </w:rPr>
            <w:t>、受托人需按照委托人计划人数配置人员，</w:t>
          </w:r>
          <w:r>
            <w:rPr>
              <w:rFonts w:hint="eastAsia" w:ascii="宋体"/>
              <w:bCs/>
              <w:sz w:val="24"/>
              <w:highlight w:val="yellow"/>
              <w:lang w:val="en-US" w:eastAsia="zh-CN"/>
            </w:rPr>
            <w:t>由受托人承担运维人员获取相关仪表操作证书的费用，且</w:t>
          </w:r>
          <w:r>
            <w:rPr>
              <w:rFonts w:hint="eastAsia" w:ascii="宋体"/>
              <w:bCs/>
              <w:sz w:val="24"/>
              <w:highlight w:val="yellow"/>
            </w:rPr>
            <w:t>所配人员</w:t>
          </w:r>
          <w:r>
            <w:rPr>
              <w:rFonts w:hint="eastAsia" w:ascii="宋体"/>
              <w:bCs/>
              <w:sz w:val="24"/>
              <w:highlight w:val="yellow"/>
              <w:lang w:val="en-US" w:eastAsia="zh-CN"/>
            </w:rPr>
            <w:t>的工种（经理、高级工、中级工）</w:t>
          </w:r>
          <w:r>
            <w:rPr>
              <w:rFonts w:hint="eastAsia" w:ascii="宋体"/>
              <w:bCs/>
              <w:sz w:val="24"/>
              <w:highlight w:val="yellow"/>
            </w:rPr>
            <w:t>，</w:t>
          </w:r>
          <w:r>
            <w:rPr>
              <w:rFonts w:hint="eastAsia" w:ascii="宋体"/>
              <w:bCs/>
              <w:sz w:val="24"/>
              <w:highlight w:val="yellow"/>
              <w:lang w:val="en-US" w:eastAsia="zh-CN"/>
            </w:rPr>
            <w:t>需由</w:t>
          </w:r>
          <w:r>
            <w:rPr>
              <w:rFonts w:hint="eastAsia" w:ascii="宋体"/>
              <w:bCs/>
              <w:sz w:val="24"/>
              <w:highlight w:val="yellow"/>
            </w:rPr>
            <w:t>委托人审核</w:t>
          </w:r>
          <w:r>
            <w:rPr>
              <w:rFonts w:hint="eastAsia" w:ascii="宋体"/>
              <w:bCs/>
              <w:sz w:val="24"/>
              <w:highlight w:val="yellow"/>
              <w:lang w:val="en-US" w:eastAsia="zh-CN"/>
            </w:rPr>
            <w:t>认定</w:t>
          </w:r>
          <w:r>
            <w:rPr>
              <w:rFonts w:hint="eastAsia" w:ascii="宋体"/>
              <w:bCs/>
              <w:sz w:val="24"/>
              <w:highlight w:val="yellow"/>
            </w:rPr>
            <w:t>，不能通过者，不予录用；合同最终配置人数，以委托人审核确定人数为准。</w:t>
          </w:r>
          <w:r>
            <w:rPr>
              <w:rFonts w:hint="eastAsia" w:ascii="宋体"/>
              <w:bCs/>
              <w:sz w:val="24"/>
              <w:highlight w:val="yellow"/>
              <w:lang w:val="en-US" w:eastAsia="zh-CN"/>
            </w:rPr>
            <w:t>其中经理（工程师）应具有独立处置厂区内在线分析仪表各类复杂技术性故障的能力，并主导队伍进行疑难问题的攻关与技术优化。</w:t>
          </w:r>
        </w:p>
        <w:p w14:paraId="0346B54C">
          <w:pPr>
            <w:spacing w:line="400" w:lineRule="exact"/>
            <w:ind w:firstLine="360" w:firstLineChars="150"/>
            <w:outlineLvl w:val="0"/>
            <w:rPr>
              <w:rFonts w:ascii="宋体"/>
              <w:bCs/>
              <w:sz w:val="24"/>
            </w:rPr>
          </w:pPr>
          <w:r>
            <w:rPr>
              <w:rFonts w:hint="eastAsia" w:ascii="宋体"/>
              <w:bCs/>
              <w:sz w:val="24"/>
            </w:rPr>
            <w:t>2、上表中，对分析仪表设备的概括统计，目的为向受托人更好的解释工作量信息，但随着委托人工程建设的开展，会有小幅度的变动；准确的工作量信息，以委托人投入生产运营后的澄清信息为准。</w:t>
          </w:r>
        </w:p>
        <w:p w14:paraId="2C55C4D3">
          <w:pPr>
            <w:spacing w:line="400" w:lineRule="exact"/>
            <w:ind w:firstLine="360" w:firstLineChars="150"/>
            <w:outlineLvl w:val="0"/>
            <w:rPr>
              <w:rFonts w:ascii="宋体"/>
              <w:bCs/>
              <w:sz w:val="24"/>
            </w:rPr>
          </w:pPr>
          <w:r>
            <w:rPr>
              <w:rFonts w:ascii="宋体"/>
              <w:bCs/>
              <w:sz w:val="24"/>
            </w:rPr>
            <w:t>3</w:t>
          </w:r>
          <w:r>
            <w:rPr>
              <w:rFonts w:hint="eastAsia" w:ascii="宋体"/>
              <w:bCs/>
              <w:sz w:val="24"/>
            </w:rPr>
            <w:t>、如受托方安排实习生在该项目学习，不计为合同人数，不享有合同中薪资、福利等，但需遵守合同中各项规定，按照正式合同人员管理、考核。</w:t>
          </w:r>
        </w:p>
      </w:sdtContent>
    </w:sdt>
    <w:p w14:paraId="2A27B88C">
      <w:pPr>
        <w:spacing w:line="360" w:lineRule="auto"/>
        <w:rPr>
          <w:rFonts w:hint="eastAsia"/>
          <w:b/>
          <w:sz w:val="24"/>
        </w:rPr>
      </w:pPr>
      <w:r>
        <w:rPr>
          <w:rFonts w:hint="eastAsia"/>
          <w:b/>
          <w:sz w:val="24"/>
        </w:rPr>
        <w:t xml:space="preserve"> 五、费用支付和考核办法</w:t>
      </w:r>
    </w:p>
    <w:p w14:paraId="2C36442F">
      <w:pPr>
        <w:spacing w:line="400" w:lineRule="exact"/>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rPr>
        <w:t xml:space="preserve">5.1 </w:t>
      </w:r>
      <w:r>
        <w:rPr>
          <w:rFonts w:hint="eastAsia" w:asciiTheme="minorEastAsia" w:hAnsiTheme="minorEastAsia" w:eastAsiaTheme="minorEastAsia"/>
          <w:sz w:val="24"/>
          <w:shd w:val="clear" w:color="auto" w:fill="FFFFFF"/>
        </w:rPr>
        <w:t>分析仪表设备维护维修固定</w:t>
      </w:r>
      <w:r>
        <w:rPr>
          <w:rFonts w:asciiTheme="minorEastAsia" w:hAnsiTheme="minorEastAsia" w:eastAsiaTheme="minorEastAsia"/>
          <w:sz w:val="24"/>
          <w:shd w:val="clear" w:color="auto" w:fill="FFFFFF"/>
        </w:rPr>
        <w:t>人工</w:t>
      </w:r>
      <w:r>
        <w:rPr>
          <w:rFonts w:hint="eastAsia" w:asciiTheme="minorEastAsia" w:hAnsiTheme="minorEastAsia" w:eastAsiaTheme="minorEastAsia"/>
          <w:sz w:val="24"/>
          <w:shd w:val="clear" w:color="auto" w:fill="FFFFFF"/>
        </w:rPr>
        <w:t>价款：</w:t>
      </w:r>
      <w:r>
        <w:rPr>
          <w:rFonts w:hint="eastAsia" w:asciiTheme="minorEastAsia" w:hAnsiTheme="minorEastAsia" w:eastAsiaTheme="minorEastAsia"/>
          <w:sz w:val="24"/>
        </w:rPr>
        <w:t>**万元</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w:t>
      </w:r>
      <w:r>
        <w:rPr>
          <w:rFonts w:asciiTheme="minorEastAsia" w:hAnsiTheme="minorEastAsia" w:eastAsiaTheme="minorEastAsia"/>
          <w:sz w:val="24"/>
        </w:rPr>
        <w:t>，</w:t>
      </w:r>
      <w:r>
        <w:rPr>
          <w:rFonts w:hint="eastAsia" w:asciiTheme="minorEastAsia" w:hAnsiTheme="minorEastAsia" w:eastAsiaTheme="minorEastAsia"/>
          <w:sz w:val="24"/>
        </w:rPr>
        <w:t>含</w:t>
      </w:r>
      <w:r>
        <w:rPr>
          <w:rFonts w:hint="eastAsia" w:asciiTheme="minorEastAsia" w:hAnsiTheme="minorEastAsia" w:eastAsiaTheme="minorEastAsia"/>
          <w:sz w:val="24"/>
          <w:lang w:val="en-US" w:eastAsia="zh-CN"/>
        </w:rPr>
        <w:t>13%</w:t>
      </w:r>
      <w:r>
        <w:rPr>
          <w:rFonts w:hint="eastAsia" w:asciiTheme="minorEastAsia" w:hAnsiTheme="minorEastAsia" w:eastAsiaTheme="minorEastAsia"/>
          <w:sz w:val="24"/>
        </w:rPr>
        <w:t>增值税，每年按365天计算），人员总人数</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人，共计人民币**元整/年（¥**）（含13%增值税）。</w:t>
      </w:r>
    </w:p>
    <w:p w14:paraId="69EF3B62">
      <w:pPr>
        <w:adjustRightInd w:val="0"/>
        <w:snapToGrid w:val="0"/>
        <w:spacing w:before="93" w:beforeLines="30" w:after="93" w:afterLines="30"/>
        <w:ind w:firstLine="480"/>
        <w:rPr>
          <w:rFonts w:asciiTheme="minorEastAsia" w:hAnsiTheme="minorEastAsia" w:eastAsiaTheme="minorEastAsia"/>
          <w:sz w:val="24"/>
        </w:rPr>
      </w:pPr>
      <w:r>
        <w:rPr>
          <w:rFonts w:hint="eastAsia" w:asciiTheme="minorEastAsia" w:hAnsiTheme="minorEastAsia" w:eastAsiaTheme="minorEastAsia"/>
          <w:sz w:val="24"/>
        </w:rPr>
        <w:t>5.2具体支付方式和时间如下：</w:t>
      </w:r>
    </w:p>
    <w:p w14:paraId="5D1918F0">
      <w:pPr>
        <w:spacing w:before="93" w:beforeLines="30" w:after="93" w:afterLines="30"/>
        <w:jc w:val="left"/>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每季度</w:t>
      </w:r>
      <w:r>
        <w:rPr>
          <w:rFonts w:hint="eastAsia" w:asciiTheme="minorEastAsia" w:hAnsiTheme="minorEastAsia" w:eastAsiaTheme="minorEastAsia"/>
          <w:sz w:val="24"/>
        </w:rPr>
        <w:t>固定维护费用（元）=合同价款*100%÷</w:t>
      </w:r>
      <w:r>
        <w:rPr>
          <w:rFonts w:hint="eastAsia" w:asciiTheme="minorEastAsia" w:hAnsiTheme="minorEastAsia" w:eastAsiaTheme="minorEastAsia"/>
          <w:sz w:val="24"/>
          <w:lang w:val="en-US" w:eastAsia="zh-CN"/>
        </w:rPr>
        <w:t>4个季度</w:t>
      </w:r>
      <w:r>
        <w:rPr>
          <w:rFonts w:hint="eastAsia" w:asciiTheme="minorEastAsia" w:hAnsiTheme="minorEastAsia" w:eastAsiaTheme="minorEastAsia"/>
          <w:sz w:val="24"/>
        </w:rPr>
        <w:t xml:space="preserve">  </w:t>
      </w:r>
    </w:p>
    <w:p w14:paraId="0D2AAAD0">
      <w:pPr>
        <w:spacing w:before="93" w:beforeLines="30" w:after="93" w:afterLines="30"/>
        <w:jc w:val="left"/>
        <w:rPr>
          <w:rFonts w:hint="eastAsia" w:asciiTheme="minorEastAsia" w:hAnsiTheme="minorEastAsia" w:eastAsiaTheme="minorEastAsia"/>
          <w:sz w:val="24"/>
        </w:rPr>
      </w:pPr>
      <w:r>
        <w:rPr>
          <w:rFonts w:hint="eastAsia" w:asciiTheme="minorEastAsia" w:hAnsiTheme="minorEastAsia" w:eastAsiaTheme="minorEastAsia"/>
          <w:sz w:val="24"/>
        </w:rPr>
        <w:t>（2）季度考核费用（元）=每季度</w:t>
      </w:r>
      <w:r>
        <w:rPr>
          <w:rFonts w:hint="eastAsia" w:asciiTheme="minorEastAsia" w:hAnsiTheme="minorEastAsia" w:eastAsiaTheme="minorEastAsia"/>
          <w:sz w:val="24"/>
          <w:lang w:val="en-US" w:eastAsia="zh-CN"/>
        </w:rPr>
        <w:t>三个月</w:t>
      </w:r>
      <w:r>
        <w:rPr>
          <w:rFonts w:hint="eastAsia" w:asciiTheme="minorEastAsia" w:hAnsiTheme="minorEastAsia" w:eastAsiaTheme="minorEastAsia"/>
          <w:sz w:val="24"/>
        </w:rPr>
        <w:t xml:space="preserve">的合同维保费×季度考核奖金系数 </w:t>
      </w:r>
    </w:p>
    <w:p w14:paraId="0372F5E6">
      <w:pPr>
        <w:spacing w:before="93" w:beforeLines="30" w:after="93" w:afterLines="30"/>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季度考核打分结果=季度考核平均分，具体考核标准如下</w:t>
      </w:r>
    </w:p>
    <w:tbl>
      <w:tblPr>
        <w:tblStyle w:val="18"/>
        <w:tblW w:w="8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414"/>
        <w:gridCol w:w="3098"/>
        <w:gridCol w:w="3088"/>
      </w:tblGrid>
      <w:tr w14:paraId="79C1F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jc w:val="center"/>
        </w:trPr>
        <w:tc>
          <w:tcPr>
            <w:tcW w:w="2414" w:type="dxa"/>
            <w:shd w:val="clear" w:color="auto" w:fill="auto"/>
            <w:tcMar>
              <w:top w:w="72" w:type="dxa"/>
              <w:left w:w="144" w:type="dxa"/>
              <w:bottom w:w="72" w:type="dxa"/>
              <w:right w:w="144" w:type="dxa"/>
            </w:tcMar>
            <w:vAlign w:val="center"/>
          </w:tcPr>
          <w:p w14:paraId="4820E383">
            <w:pPr>
              <w:jc w:val="center"/>
              <w:rPr>
                <w:rFonts w:asciiTheme="minorEastAsia" w:hAnsiTheme="minorEastAsia" w:eastAsiaTheme="minorEastAsia"/>
                <w:sz w:val="24"/>
              </w:rPr>
            </w:pPr>
            <w:r>
              <w:rPr>
                <w:rFonts w:hint="eastAsia" w:asciiTheme="minorEastAsia" w:hAnsiTheme="minorEastAsia" w:eastAsiaTheme="minorEastAsia"/>
                <w:bCs/>
                <w:sz w:val="24"/>
              </w:rPr>
              <w:t>考核分档</w:t>
            </w:r>
          </w:p>
        </w:tc>
        <w:tc>
          <w:tcPr>
            <w:tcW w:w="3098" w:type="dxa"/>
            <w:shd w:val="clear" w:color="auto" w:fill="auto"/>
            <w:tcMar>
              <w:top w:w="72" w:type="dxa"/>
              <w:left w:w="144" w:type="dxa"/>
              <w:bottom w:w="72" w:type="dxa"/>
              <w:right w:w="144" w:type="dxa"/>
            </w:tcMar>
            <w:vAlign w:val="center"/>
          </w:tcPr>
          <w:p w14:paraId="048452A8">
            <w:pPr>
              <w:jc w:val="center"/>
              <w:rPr>
                <w:rFonts w:asciiTheme="minorEastAsia" w:hAnsiTheme="minorEastAsia" w:eastAsiaTheme="minorEastAsia"/>
                <w:sz w:val="24"/>
              </w:rPr>
            </w:pPr>
            <w:r>
              <w:rPr>
                <w:rFonts w:hint="eastAsia" w:asciiTheme="minorEastAsia" w:hAnsiTheme="minorEastAsia" w:eastAsiaTheme="minorEastAsia"/>
                <w:bCs/>
                <w:sz w:val="24"/>
              </w:rPr>
              <w:t>考核分数</w:t>
            </w:r>
          </w:p>
        </w:tc>
        <w:tc>
          <w:tcPr>
            <w:tcW w:w="3088" w:type="dxa"/>
            <w:vAlign w:val="center"/>
          </w:tcPr>
          <w:p w14:paraId="47E4F74B">
            <w:pPr>
              <w:jc w:val="center"/>
              <w:rPr>
                <w:rFonts w:asciiTheme="minorEastAsia" w:hAnsiTheme="minorEastAsia" w:eastAsiaTheme="minorEastAsia"/>
                <w:sz w:val="24"/>
              </w:rPr>
            </w:pPr>
            <w:r>
              <w:rPr>
                <w:rFonts w:hint="eastAsia" w:asciiTheme="minorEastAsia" w:hAnsiTheme="minorEastAsia" w:eastAsiaTheme="minorEastAsia"/>
                <w:bCs/>
                <w:sz w:val="24"/>
              </w:rPr>
              <w:t>考核奖金系数</w:t>
            </w:r>
          </w:p>
        </w:tc>
      </w:tr>
      <w:tr w14:paraId="2632A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 w:hRule="atLeast"/>
          <w:jc w:val="center"/>
        </w:trPr>
        <w:tc>
          <w:tcPr>
            <w:tcW w:w="2414" w:type="dxa"/>
            <w:shd w:val="clear" w:color="auto" w:fill="auto"/>
            <w:tcMar>
              <w:top w:w="72" w:type="dxa"/>
              <w:left w:w="144" w:type="dxa"/>
              <w:bottom w:w="72" w:type="dxa"/>
              <w:right w:w="144" w:type="dxa"/>
            </w:tcMar>
          </w:tcPr>
          <w:p w14:paraId="1D800A35">
            <w:pPr>
              <w:jc w:val="center"/>
              <w:rPr>
                <w:rFonts w:hint="eastAsia" w:asciiTheme="minorEastAsia" w:hAnsiTheme="minorEastAsia" w:eastAsiaTheme="minorEastAsia"/>
                <w:sz w:val="24"/>
                <w:lang w:eastAsia="zh-CN"/>
              </w:rPr>
            </w:pPr>
            <w:r>
              <w:rPr>
                <w:rFonts w:hint="eastAsia" w:asciiTheme="minorEastAsia" w:hAnsiTheme="minorEastAsia" w:eastAsiaTheme="minorEastAsia"/>
                <w:bCs/>
                <w:sz w:val="24"/>
              </w:rPr>
              <w:t>第一</w:t>
            </w:r>
            <w:r>
              <w:rPr>
                <w:rFonts w:hint="eastAsia" w:asciiTheme="minorEastAsia" w:hAnsiTheme="minorEastAsia" w:eastAsiaTheme="minorEastAsia"/>
                <w:bCs/>
                <w:sz w:val="24"/>
                <w:lang w:eastAsia="zh-CN"/>
              </w:rPr>
              <w:t>档</w:t>
            </w:r>
          </w:p>
        </w:tc>
        <w:tc>
          <w:tcPr>
            <w:tcW w:w="3098" w:type="dxa"/>
            <w:shd w:val="clear" w:color="auto" w:fill="auto"/>
            <w:tcMar>
              <w:top w:w="72" w:type="dxa"/>
              <w:left w:w="144" w:type="dxa"/>
              <w:bottom w:w="72" w:type="dxa"/>
              <w:right w:w="144" w:type="dxa"/>
            </w:tcMar>
          </w:tcPr>
          <w:p w14:paraId="487E0535">
            <w:pPr>
              <w:jc w:val="center"/>
              <w:rPr>
                <w:rFonts w:asciiTheme="minorEastAsia" w:hAnsiTheme="minorEastAsia" w:eastAsiaTheme="minorEastAsia"/>
                <w:sz w:val="24"/>
              </w:rPr>
            </w:pPr>
            <w:r>
              <w:rPr>
                <w:rFonts w:hint="eastAsia" w:asciiTheme="minorEastAsia" w:hAnsiTheme="minorEastAsia" w:eastAsiaTheme="minorEastAsia"/>
                <w:sz w:val="24"/>
              </w:rPr>
              <w:t>大于100</w:t>
            </w:r>
          </w:p>
        </w:tc>
        <w:tc>
          <w:tcPr>
            <w:tcW w:w="3088" w:type="dxa"/>
          </w:tcPr>
          <w:p w14:paraId="6A05D654">
            <w:pPr>
              <w:jc w:val="center"/>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1</w:t>
            </w:r>
          </w:p>
        </w:tc>
      </w:tr>
      <w:tr w14:paraId="264A8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 w:hRule="atLeast"/>
          <w:jc w:val="center"/>
        </w:trPr>
        <w:tc>
          <w:tcPr>
            <w:tcW w:w="2414" w:type="dxa"/>
            <w:shd w:val="clear" w:color="auto" w:fill="auto"/>
            <w:tcMar>
              <w:top w:w="72" w:type="dxa"/>
              <w:left w:w="144" w:type="dxa"/>
              <w:bottom w:w="72" w:type="dxa"/>
              <w:right w:w="144" w:type="dxa"/>
            </w:tcMar>
          </w:tcPr>
          <w:p w14:paraId="6B0EE98D">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rPr>
              <w:t>第二</w:t>
            </w:r>
            <w:r>
              <w:rPr>
                <w:rFonts w:hint="eastAsia" w:asciiTheme="minorEastAsia" w:hAnsiTheme="minorEastAsia" w:eastAsiaTheme="minorEastAsia"/>
                <w:bCs/>
                <w:sz w:val="24"/>
                <w:lang w:eastAsia="zh-CN"/>
              </w:rPr>
              <w:t>档</w:t>
            </w:r>
          </w:p>
        </w:tc>
        <w:tc>
          <w:tcPr>
            <w:tcW w:w="3098" w:type="dxa"/>
            <w:shd w:val="clear" w:color="auto" w:fill="auto"/>
            <w:tcMar>
              <w:top w:w="72" w:type="dxa"/>
              <w:left w:w="144" w:type="dxa"/>
              <w:bottom w:w="72" w:type="dxa"/>
              <w:right w:w="144" w:type="dxa"/>
            </w:tcMar>
          </w:tcPr>
          <w:p w14:paraId="518C25D6">
            <w:pPr>
              <w:jc w:val="center"/>
              <w:rPr>
                <w:rFonts w:asciiTheme="minorEastAsia" w:hAnsiTheme="minorEastAsia" w:eastAsiaTheme="minorEastAsia"/>
                <w:sz w:val="24"/>
              </w:rPr>
            </w:pPr>
            <w:r>
              <w:rPr>
                <w:rFonts w:hint="eastAsia" w:asciiTheme="minorEastAsia" w:hAnsiTheme="minorEastAsia" w:eastAsiaTheme="minorEastAsia"/>
                <w:sz w:val="24"/>
              </w:rPr>
              <w:t>90-</w:t>
            </w:r>
            <w:r>
              <w:rPr>
                <w:rFonts w:asciiTheme="minorEastAsia" w:hAnsiTheme="minorEastAsia" w:eastAsiaTheme="minorEastAsia"/>
                <w:sz w:val="24"/>
              </w:rPr>
              <w:t>100</w:t>
            </w:r>
          </w:p>
        </w:tc>
        <w:tc>
          <w:tcPr>
            <w:tcW w:w="3088" w:type="dxa"/>
          </w:tcPr>
          <w:p w14:paraId="4815DE6F">
            <w:pPr>
              <w:jc w:val="center"/>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0</w:t>
            </w:r>
          </w:p>
        </w:tc>
      </w:tr>
      <w:tr w14:paraId="31D1B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 w:hRule="atLeast"/>
          <w:jc w:val="center"/>
        </w:trPr>
        <w:tc>
          <w:tcPr>
            <w:tcW w:w="2414" w:type="dxa"/>
            <w:shd w:val="clear" w:color="auto" w:fill="auto"/>
            <w:tcMar>
              <w:top w:w="72" w:type="dxa"/>
              <w:left w:w="144" w:type="dxa"/>
              <w:bottom w:w="72" w:type="dxa"/>
              <w:right w:w="144" w:type="dxa"/>
            </w:tcMar>
          </w:tcPr>
          <w:p w14:paraId="541BB718">
            <w:pPr>
              <w:jc w:val="center"/>
              <w:rPr>
                <w:rFonts w:hint="eastAsia" w:asciiTheme="minorEastAsia" w:hAnsiTheme="minorEastAsia" w:eastAsiaTheme="minorEastAsia"/>
                <w:sz w:val="24"/>
                <w:lang w:eastAsia="zh-CN"/>
              </w:rPr>
            </w:pPr>
            <w:r>
              <w:rPr>
                <w:rFonts w:hint="eastAsia" w:asciiTheme="minorEastAsia" w:hAnsiTheme="minorEastAsia" w:eastAsiaTheme="minorEastAsia"/>
                <w:bCs/>
                <w:sz w:val="24"/>
              </w:rPr>
              <w:t>第三</w:t>
            </w:r>
            <w:r>
              <w:rPr>
                <w:rFonts w:hint="eastAsia" w:asciiTheme="minorEastAsia" w:hAnsiTheme="minorEastAsia" w:eastAsiaTheme="minorEastAsia"/>
                <w:bCs/>
                <w:sz w:val="24"/>
                <w:lang w:eastAsia="zh-CN"/>
              </w:rPr>
              <w:t>档</w:t>
            </w:r>
          </w:p>
        </w:tc>
        <w:tc>
          <w:tcPr>
            <w:tcW w:w="3098" w:type="dxa"/>
            <w:shd w:val="clear" w:color="auto" w:fill="auto"/>
            <w:tcMar>
              <w:top w:w="72" w:type="dxa"/>
              <w:left w:w="144" w:type="dxa"/>
              <w:bottom w:w="72" w:type="dxa"/>
              <w:right w:w="144" w:type="dxa"/>
            </w:tcMar>
          </w:tcPr>
          <w:p w14:paraId="5803D731">
            <w:pPr>
              <w:jc w:val="center"/>
              <w:rPr>
                <w:rFonts w:asciiTheme="minorEastAsia" w:hAnsiTheme="minorEastAsia" w:eastAsiaTheme="minorEastAsia"/>
                <w:sz w:val="24"/>
              </w:rPr>
            </w:pPr>
            <w:r>
              <w:rPr>
                <w:rFonts w:hint="eastAsia" w:asciiTheme="minorEastAsia" w:hAnsiTheme="minorEastAsia" w:eastAsiaTheme="minorEastAsia"/>
                <w:sz w:val="24"/>
              </w:rPr>
              <w:t>80-89</w:t>
            </w:r>
          </w:p>
        </w:tc>
        <w:tc>
          <w:tcPr>
            <w:tcW w:w="3088" w:type="dxa"/>
          </w:tcPr>
          <w:p w14:paraId="07EC9FCB">
            <w:pPr>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9</w:t>
            </w:r>
          </w:p>
        </w:tc>
      </w:tr>
      <w:tr w14:paraId="198AC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jc w:val="center"/>
        </w:trPr>
        <w:tc>
          <w:tcPr>
            <w:tcW w:w="2414" w:type="dxa"/>
            <w:shd w:val="clear" w:color="auto" w:fill="auto"/>
            <w:tcMar>
              <w:top w:w="72" w:type="dxa"/>
              <w:left w:w="144" w:type="dxa"/>
              <w:bottom w:w="72" w:type="dxa"/>
              <w:right w:w="144" w:type="dxa"/>
            </w:tcMar>
          </w:tcPr>
          <w:p w14:paraId="22B19067">
            <w:pPr>
              <w:jc w:val="center"/>
              <w:rPr>
                <w:rFonts w:hint="eastAsia" w:asciiTheme="minorEastAsia" w:hAnsiTheme="minorEastAsia" w:eastAsiaTheme="minorEastAsia"/>
                <w:sz w:val="24"/>
                <w:lang w:eastAsia="zh-CN"/>
              </w:rPr>
            </w:pPr>
            <w:r>
              <w:rPr>
                <w:rFonts w:hint="eastAsia" w:asciiTheme="minorEastAsia" w:hAnsiTheme="minorEastAsia" w:eastAsiaTheme="minorEastAsia"/>
                <w:bCs/>
                <w:sz w:val="24"/>
              </w:rPr>
              <w:t>第四</w:t>
            </w:r>
            <w:r>
              <w:rPr>
                <w:rFonts w:hint="eastAsia" w:asciiTheme="minorEastAsia" w:hAnsiTheme="minorEastAsia" w:eastAsiaTheme="minorEastAsia"/>
                <w:bCs/>
                <w:sz w:val="24"/>
                <w:lang w:eastAsia="zh-CN"/>
              </w:rPr>
              <w:t>档</w:t>
            </w:r>
          </w:p>
        </w:tc>
        <w:tc>
          <w:tcPr>
            <w:tcW w:w="3098" w:type="dxa"/>
            <w:shd w:val="clear" w:color="auto" w:fill="auto"/>
            <w:tcMar>
              <w:top w:w="72" w:type="dxa"/>
              <w:left w:w="144" w:type="dxa"/>
              <w:bottom w:w="72" w:type="dxa"/>
              <w:right w:w="144" w:type="dxa"/>
            </w:tcMar>
          </w:tcPr>
          <w:p w14:paraId="5AD4BEF4">
            <w:pPr>
              <w:jc w:val="center"/>
              <w:rPr>
                <w:rFonts w:asciiTheme="minorEastAsia" w:hAnsiTheme="minorEastAsia" w:eastAsiaTheme="minorEastAsia"/>
                <w:sz w:val="24"/>
              </w:rPr>
            </w:pPr>
            <w:r>
              <w:rPr>
                <w:rFonts w:hint="eastAsia" w:asciiTheme="minorEastAsia" w:hAnsiTheme="minorEastAsia" w:eastAsiaTheme="minorEastAsia"/>
                <w:sz w:val="24"/>
              </w:rPr>
              <w:t>70-79</w:t>
            </w:r>
          </w:p>
        </w:tc>
        <w:tc>
          <w:tcPr>
            <w:tcW w:w="3088" w:type="dxa"/>
          </w:tcPr>
          <w:p w14:paraId="4180C7FF">
            <w:pPr>
              <w:jc w:val="center"/>
              <w:rPr>
                <w:rFonts w:asciiTheme="minorEastAsia" w:hAnsiTheme="minorEastAsia" w:eastAsiaTheme="minorEastAsia"/>
                <w:sz w:val="24"/>
              </w:rPr>
            </w:pPr>
            <w:r>
              <w:rPr>
                <w:rFonts w:hint="eastAsia" w:asciiTheme="minorEastAsia" w:hAnsiTheme="minorEastAsia" w:eastAsiaTheme="minorEastAsia"/>
                <w:sz w:val="24"/>
              </w:rPr>
              <w:t>0.8</w:t>
            </w:r>
          </w:p>
        </w:tc>
      </w:tr>
      <w:tr w14:paraId="47523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jc w:val="center"/>
        </w:trPr>
        <w:tc>
          <w:tcPr>
            <w:tcW w:w="2414" w:type="dxa"/>
            <w:shd w:val="clear" w:color="auto" w:fill="auto"/>
            <w:tcMar>
              <w:top w:w="72" w:type="dxa"/>
              <w:left w:w="144" w:type="dxa"/>
              <w:bottom w:w="72" w:type="dxa"/>
              <w:right w:w="144" w:type="dxa"/>
            </w:tcMar>
          </w:tcPr>
          <w:p w14:paraId="1B2771B8">
            <w:pPr>
              <w:jc w:val="center"/>
              <w:rPr>
                <w:rFonts w:asciiTheme="minorEastAsia" w:hAnsiTheme="minorEastAsia" w:eastAsiaTheme="minorEastAsia"/>
                <w:bCs/>
                <w:sz w:val="24"/>
              </w:rPr>
            </w:pPr>
            <w:r>
              <w:rPr>
                <w:rFonts w:hint="eastAsia" w:asciiTheme="minorEastAsia" w:hAnsiTheme="minorEastAsia" w:eastAsiaTheme="minorEastAsia"/>
                <w:bCs/>
                <w:sz w:val="24"/>
              </w:rPr>
              <w:t>第五档</w:t>
            </w:r>
          </w:p>
        </w:tc>
        <w:tc>
          <w:tcPr>
            <w:tcW w:w="3098" w:type="dxa"/>
            <w:shd w:val="clear" w:color="auto" w:fill="auto"/>
            <w:tcMar>
              <w:top w:w="72" w:type="dxa"/>
              <w:left w:w="144" w:type="dxa"/>
              <w:bottom w:w="72" w:type="dxa"/>
              <w:right w:w="144" w:type="dxa"/>
            </w:tcMar>
          </w:tcPr>
          <w:p w14:paraId="62544C3D">
            <w:pPr>
              <w:jc w:val="center"/>
              <w:rPr>
                <w:rFonts w:asciiTheme="minorEastAsia" w:hAnsiTheme="minorEastAsia" w:eastAsiaTheme="minorEastAsia"/>
                <w:sz w:val="24"/>
              </w:rPr>
            </w:pPr>
            <w:r>
              <w:rPr>
                <w:rFonts w:hint="eastAsia" w:asciiTheme="minorEastAsia" w:hAnsiTheme="minorEastAsia" w:eastAsiaTheme="minorEastAsia"/>
                <w:sz w:val="24"/>
              </w:rPr>
              <w:t>60-69</w:t>
            </w:r>
          </w:p>
        </w:tc>
        <w:tc>
          <w:tcPr>
            <w:tcW w:w="3088" w:type="dxa"/>
          </w:tcPr>
          <w:p w14:paraId="1E028C44">
            <w:pPr>
              <w:jc w:val="center"/>
              <w:rPr>
                <w:rFonts w:asciiTheme="minorEastAsia" w:hAnsiTheme="minorEastAsia" w:eastAsiaTheme="minorEastAsia"/>
                <w:sz w:val="24"/>
              </w:rPr>
            </w:pPr>
            <w:r>
              <w:rPr>
                <w:rFonts w:hint="eastAsia" w:asciiTheme="minorEastAsia" w:hAnsiTheme="minorEastAsia" w:eastAsiaTheme="minorEastAsia"/>
                <w:sz w:val="24"/>
              </w:rPr>
              <w:t>0.6</w:t>
            </w:r>
          </w:p>
        </w:tc>
      </w:tr>
      <w:tr w14:paraId="39FF6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jc w:val="center"/>
        </w:trPr>
        <w:tc>
          <w:tcPr>
            <w:tcW w:w="2414" w:type="dxa"/>
            <w:shd w:val="clear" w:color="auto" w:fill="auto"/>
            <w:tcMar>
              <w:top w:w="72" w:type="dxa"/>
              <w:left w:w="144" w:type="dxa"/>
              <w:bottom w:w="72" w:type="dxa"/>
              <w:right w:w="144" w:type="dxa"/>
            </w:tcMar>
          </w:tcPr>
          <w:p w14:paraId="22E4F632">
            <w:pPr>
              <w:jc w:val="center"/>
              <w:rPr>
                <w:rFonts w:asciiTheme="minorEastAsia" w:hAnsiTheme="minorEastAsia" w:eastAsiaTheme="minorEastAsia"/>
                <w:bCs/>
                <w:sz w:val="24"/>
              </w:rPr>
            </w:pPr>
            <w:r>
              <w:rPr>
                <w:rFonts w:hint="eastAsia" w:asciiTheme="minorEastAsia" w:hAnsiTheme="minorEastAsia" w:eastAsiaTheme="minorEastAsia"/>
                <w:bCs/>
                <w:sz w:val="24"/>
              </w:rPr>
              <w:t>第六档</w:t>
            </w:r>
          </w:p>
        </w:tc>
        <w:tc>
          <w:tcPr>
            <w:tcW w:w="3098" w:type="dxa"/>
            <w:shd w:val="clear" w:color="auto" w:fill="auto"/>
            <w:tcMar>
              <w:top w:w="72" w:type="dxa"/>
              <w:left w:w="144" w:type="dxa"/>
              <w:bottom w:w="72" w:type="dxa"/>
              <w:right w:w="144" w:type="dxa"/>
            </w:tcMar>
          </w:tcPr>
          <w:p w14:paraId="6C6BEBD1">
            <w:pPr>
              <w:jc w:val="center"/>
              <w:rPr>
                <w:rFonts w:asciiTheme="minorEastAsia" w:hAnsiTheme="minorEastAsia" w:eastAsiaTheme="minorEastAsia"/>
                <w:sz w:val="24"/>
              </w:rPr>
            </w:pPr>
            <w:r>
              <w:rPr>
                <w:rFonts w:hint="eastAsia" w:asciiTheme="minorEastAsia" w:hAnsiTheme="minorEastAsia" w:eastAsiaTheme="minorEastAsia"/>
                <w:sz w:val="24"/>
              </w:rPr>
              <w:t>0-59</w:t>
            </w:r>
          </w:p>
        </w:tc>
        <w:tc>
          <w:tcPr>
            <w:tcW w:w="3088" w:type="dxa"/>
          </w:tcPr>
          <w:p w14:paraId="6C65BAD5">
            <w:pPr>
              <w:jc w:val="center"/>
              <w:rPr>
                <w:rFonts w:asciiTheme="minorEastAsia" w:hAnsiTheme="minorEastAsia" w:eastAsiaTheme="minorEastAsia"/>
                <w:sz w:val="24"/>
              </w:rPr>
            </w:pPr>
            <w:r>
              <w:rPr>
                <w:rFonts w:hint="eastAsia" w:asciiTheme="minorEastAsia" w:hAnsiTheme="minorEastAsia" w:eastAsiaTheme="minorEastAsia"/>
                <w:sz w:val="24"/>
              </w:rPr>
              <w:t>0</w:t>
            </w:r>
          </w:p>
        </w:tc>
      </w:tr>
    </w:tbl>
    <w:p w14:paraId="719376ED">
      <w:pPr>
        <w:adjustRightInd w:val="0"/>
        <w:snapToGrid w:val="0"/>
        <w:spacing w:before="93" w:beforeLines="30" w:after="93" w:afterLines="30" w:line="360" w:lineRule="auto"/>
        <w:ind w:firstLine="361" w:firstLineChars="150"/>
        <w:rPr>
          <w:rFonts w:hint="eastAsia" w:asciiTheme="minorEastAsia" w:hAnsiTheme="minorEastAsia" w:eastAsiaTheme="minorEastAsia"/>
          <w:b/>
          <w:bCs w:val="0"/>
          <w:color w:val="auto"/>
          <w:sz w:val="24"/>
          <w:lang w:val="en-US" w:eastAsia="zh-CN"/>
        </w:rPr>
      </w:pPr>
      <w:r>
        <w:rPr>
          <w:rFonts w:hint="eastAsia" w:asciiTheme="minorEastAsia" w:hAnsiTheme="minorEastAsia" w:eastAsiaTheme="minorEastAsia"/>
          <w:b/>
          <w:bCs w:val="0"/>
          <w:color w:val="auto"/>
          <w:sz w:val="24"/>
          <w:highlight w:val="yellow"/>
        </w:rPr>
        <w:t>具体考核细则见附件</w:t>
      </w:r>
      <w:r>
        <w:rPr>
          <w:rFonts w:hint="eastAsia" w:asciiTheme="minorEastAsia" w:hAnsiTheme="minorEastAsia" w:eastAsiaTheme="minorEastAsia"/>
          <w:b/>
          <w:bCs w:val="0"/>
          <w:color w:val="auto"/>
          <w:sz w:val="24"/>
          <w:highlight w:val="yellow"/>
          <w:lang w:eastAsia="zh-CN"/>
        </w:rPr>
        <w:t>二</w:t>
      </w:r>
    </w:p>
    <w:p w14:paraId="1ED10895">
      <w:pPr>
        <w:adjustRightInd w:val="0"/>
        <w:snapToGrid w:val="0"/>
        <w:spacing w:before="93" w:beforeLines="30" w:after="93" w:afterLines="30"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）每次付款均需提供合法有效的票据凭证。</w:t>
      </w:r>
    </w:p>
    <w:p w14:paraId="6D37F96D">
      <w:pPr>
        <w:adjustRightInd w:val="0"/>
        <w:snapToGrid w:val="0"/>
        <w:spacing w:before="93" w:beforeLines="30" w:after="93" w:afterLines="3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5.3所有维护人员由</w:t>
      </w:r>
      <w:r>
        <w:rPr>
          <w:rFonts w:hint="eastAsia" w:asciiTheme="minorEastAsia" w:hAnsiTheme="minorEastAsia" w:eastAsiaTheme="minorEastAsia"/>
          <w:sz w:val="24"/>
          <w:lang w:val="en-US" w:eastAsia="zh-CN"/>
        </w:rPr>
        <w:t>QHSE部</w:t>
      </w:r>
      <w:r>
        <w:rPr>
          <w:rFonts w:hint="eastAsia" w:asciiTheme="minorEastAsia" w:hAnsiTheme="minorEastAsia" w:eastAsiaTheme="minorEastAsia"/>
          <w:sz w:val="24"/>
        </w:rPr>
        <w:t>负责对其进行能力考核，确定其能胜任的岗位，但人员出现离职情况的时候，增补人员必须经过</w:t>
      </w:r>
      <w:r>
        <w:rPr>
          <w:rFonts w:hint="eastAsia" w:asciiTheme="minorEastAsia" w:hAnsiTheme="minorEastAsia" w:eastAsiaTheme="minorEastAsia"/>
          <w:sz w:val="24"/>
          <w:lang w:val="en-US" w:eastAsia="zh-CN"/>
        </w:rPr>
        <w:t>QHSE部</w:t>
      </w:r>
      <w:r>
        <w:rPr>
          <w:rFonts w:hint="eastAsia" w:asciiTheme="minorEastAsia" w:hAnsiTheme="minorEastAsia" w:eastAsiaTheme="minorEastAsia"/>
          <w:sz w:val="24"/>
        </w:rPr>
        <w:t>全方位的考核确认，保证其能力可以达到离职人员的水平，若无法达到离职人员的水平，则由</w:t>
      </w:r>
      <w:r>
        <w:rPr>
          <w:rFonts w:hint="eastAsia" w:asciiTheme="minorEastAsia" w:hAnsiTheme="minorEastAsia" w:eastAsiaTheme="minorEastAsia"/>
          <w:sz w:val="24"/>
          <w:lang w:val="en-US" w:eastAsia="zh-CN"/>
        </w:rPr>
        <w:t>QHSE部</w:t>
      </w:r>
      <w:r>
        <w:rPr>
          <w:rFonts w:hint="eastAsia" w:asciiTheme="minorEastAsia" w:hAnsiTheme="minorEastAsia" w:eastAsiaTheme="minorEastAsia"/>
          <w:sz w:val="24"/>
        </w:rPr>
        <w:t>经过考核后确认其能胜任的岗位，无法胜任则按考核办法进行考核。</w:t>
      </w:r>
      <w:r>
        <w:rPr>
          <w:rFonts w:asciiTheme="minorEastAsia" w:hAnsiTheme="minorEastAsia" w:eastAsiaTheme="minorEastAsia"/>
          <w:sz w:val="24"/>
        </w:rPr>
        <w:t xml:space="preserve"> </w:t>
      </w:r>
    </w:p>
    <w:p w14:paraId="365D589E">
      <w:pPr>
        <w:adjustRightInd w:val="0"/>
        <w:snapToGrid w:val="0"/>
        <w:spacing w:before="93" w:beforeLines="30" w:after="93" w:afterLines="3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如受托方安排实习生在该项目部学习，不计为合同人数，按照正式合同人员管理，6个月后可考核进入定员。</w:t>
      </w:r>
      <w:r>
        <w:rPr>
          <w:rFonts w:asciiTheme="minorEastAsia" w:hAnsiTheme="minorEastAsia" w:eastAsiaTheme="minorEastAsia"/>
          <w:sz w:val="24"/>
        </w:rPr>
        <w:t xml:space="preserve">       </w:t>
      </w:r>
    </w:p>
    <w:p w14:paraId="12170DC4">
      <w:pPr>
        <w:spacing w:line="360" w:lineRule="auto"/>
        <w:ind w:firstLine="240" w:firstLineChars="100"/>
        <w:rPr>
          <w:rFonts w:asciiTheme="minorEastAsia" w:hAnsiTheme="minorEastAsia" w:eastAsiaTheme="minorEastAsia"/>
          <w:sz w:val="24"/>
        </w:rPr>
      </w:pPr>
      <w:r>
        <w:rPr>
          <w:rStyle w:val="43"/>
          <w:rFonts w:hint="eastAsia" w:cs="宋体" w:asciiTheme="minorEastAsia" w:hAnsiTheme="minorEastAsia" w:eastAsiaTheme="minorEastAsia"/>
        </w:rPr>
        <w:t>5.</w:t>
      </w:r>
      <w:r>
        <w:rPr>
          <w:rStyle w:val="43"/>
          <w:rFonts w:hint="eastAsia" w:cs="宋体" w:asciiTheme="minorEastAsia" w:hAnsiTheme="minorEastAsia" w:eastAsiaTheme="minorEastAsia"/>
          <w:lang w:val="en-US" w:eastAsia="zh-CN"/>
        </w:rPr>
        <w:t>4</w:t>
      </w:r>
      <w:r>
        <w:rPr>
          <w:rFonts w:hint="eastAsia" w:asciiTheme="minorEastAsia" w:hAnsiTheme="minorEastAsia" w:eastAsiaTheme="minorEastAsia"/>
          <w:sz w:val="24"/>
        </w:rPr>
        <w:t>由于委托人的关系，导致装置计划检修外停车，在停车期间的维护维修费</w:t>
      </w:r>
      <w:r>
        <w:rPr>
          <w:rFonts w:asciiTheme="minorEastAsia" w:hAnsiTheme="minorEastAsia" w:eastAsiaTheme="minorEastAsia"/>
          <w:sz w:val="24"/>
        </w:rPr>
        <w:t>仍按季度</w:t>
      </w:r>
      <w:r>
        <w:rPr>
          <w:rFonts w:hint="eastAsia" w:asciiTheme="minorEastAsia" w:hAnsiTheme="minorEastAsia" w:eastAsiaTheme="minorEastAsia"/>
          <w:sz w:val="24"/>
          <w:lang w:val="en-US" w:eastAsia="zh-CN"/>
        </w:rPr>
        <w:t>考核</w:t>
      </w:r>
      <w:r>
        <w:rPr>
          <w:rFonts w:asciiTheme="minorEastAsia" w:hAnsiTheme="minorEastAsia" w:eastAsiaTheme="minorEastAsia"/>
          <w:sz w:val="24"/>
        </w:rPr>
        <w:t>结算。在停车期间，受托人按规定对动电仪设备进行正常的维护维修，必须保证设备的完好。停车期间由于维护维修不当造成的设备问题由受托人负责修理和更换，由此产生的费用从受托人的当季度维护维修费考核部分扣除。</w:t>
      </w:r>
    </w:p>
    <w:p w14:paraId="37A2CE59">
      <w:pPr>
        <w:spacing w:line="360" w:lineRule="auto"/>
        <w:ind w:firstLine="240" w:firstLineChars="100"/>
        <w:rPr>
          <w:rFonts w:hint="eastAsia" w:asciiTheme="minorEastAsia" w:hAnsiTheme="minorEastAsia" w:eastAsiaTheme="minorEastAsia"/>
          <w:sz w:val="24"/>
        </w:rPr>
      </w:pPr>
      <w:r>
        <w:rPr>
          <w:rStyle w:val="43"/>
          <w:rFonts w:hint="eastAsia" w:cs="宋体" w:asciiTheme="minorEastAsia" w:hAnsiTheme="minorEastAsia" w:eastAsiaTheme="minorEastAsia"/>
        </w:rPr>
        <w:t>5.</w:t>
      </w:r>
      <w:r>
        <w:rPr>
          <w:rStyle w:val="43"/>
          <w:rFonts w:hint="eastAsia" w:cs="宋体" w:asciiTheme="minorEastAsia" w:hAnsiTheme="minorEastAsia" w:eastAsiaTheme="minorEastAsia"/>
          <w:lang w:val="en-US" w:eastAsia="zh-CN"/>
        </w:rPr>
        <w:t>5</w:t>
      </w:r>
      <w:r>
        <w:rPr>
          <w:rFonts w:hint="eastAsia" w:asciiTheme="minorEastAsia" w:hAnsiTheme="minorEastAsia" w:eastAsiaTheme="minorEastAsia"/>
          <w:sz w:val="24"/>
        </w:rPr>
        <w:t>正常生产运行中，由于受托人维护维修不善出现的设备故障，由受托人负责修理</w:t>
      </w:r>
      <w:r>
        <w:rPr>
          <w:rFonts w:asciiTheme="minorEastAsia" w:hAnsiTheme="minorEastAsia" w:eastAsiaTheme="minorEastAsia"/>
          <w:sz w:val="24"/>
        </w:rPr>
        <w:t>和更换，由此产生的检修、更换费用从受托人的当季度的维护维修费中扣除。</w:t>
      </w:r>
    </w:p>
    <w:p w14:paraId="66A1E18D">
      <w:pPr>
        <w:spacing w:line="360" w:lineRule="auto"/>
        <w:rPr>
          <w:rFonts w:hint="eastAsia"/>
          <w:b/>
          <w:sz w:val="24"/>
        </w:rPr>
      </w:pPr>
      <w:r>
        <w:rPr>
          <w:rFonts w:hint="eastAsia"/>
          <w:b/>
          <w:sz w:val="24"/>
        </w:rPr>
        <w:t>六、付款条件及方式</w:t>
      </w:r>
    </w:p>
    <w:p w14:paraId="60F52202">
      <w:pPr>
        <w:spacing w:line="360" w:lineRule="auto"/>
        <w:rPr>
          <w:rFonts w:hint="eastAsia"/>
          <w:b/>
          <w:sz w:val="24"/>
        </w:rPr>
      </w:pPr>
      <w:r>
        <w:rPr>
          <w:rFonts w:hint="eastAsia"/>
          <w:b/>
          <w:sz w:val="24"/>
        </w:rPr>
        <w:t xml:space="preserve"> 6.1 付款进度</w:t>
      </w:r>
    </w:p>
    <w:p w14:paraId="475C6581">
      <w:pPr>
        <w:spacing w:line="360" w:lineRule="auto"/>
        <w:ind w:firstLine="720" w:firstLineChars="300"/>
        <w:rPr>
          <w:rFonts w:hint="eastAsia"/>
          <w:sz w:val="24"/>
        </w:rPr>
      </w:pPr>
      <w:r>
        <w:rPr>
          <w:rFonts w:hint="eastAsia"/>
          <w:sz w:val="24"/>
        </w:rPr>
        <w:t>每</w:t>
      </w:r>
      <w:r>
        <w:rPr>
          <w:rFonts w:hint="eastAsia"/>
          <w:sz w:val="24"/>
          <w:lang w:val="en-US" w:eastAsia="zh-CN"/>
        </w:rPr>
        <w:t>季度</w:t>
      </w:r>
      <w:r>
        <w:rPr>
          <w:rFonts w:hint="eastAsia"/>
          <w:sz w:val="24"/>
        </w:rPr>
        <w:t>进行结算，提交申请后一个月内付清。</w:t>
      </w:r>
    </w:p>
    <w:p w14:paraId="02B042FD">
      <w:pPr>
        <w:spacing w:line="360" w:lineRule="auto"/>
        <w:rPr>
          <w:rFonts w:hint="eastAsia"/>
          <w:b/>
          <w:sz w:val="24"/>
        </w:rPr>
      </w:pPr>
      <w:r>
        <w:rPr>
          <w:rFonts w:hint="eastAsia"/>
          <w:b/>
          <w:sz w:val="24"/>
        </w:rPr>
        <w:t>6.2  付款方式</w:t>
      </w:r>
    </w:p>
    <w:p w14:paraId="621AE375">
      <w:pPr>
        <w:spacing w:line="360" w:lineRule="auto"/>
        <w:rPr>
          <w:rFonts w:hint="eastAsia"/>
          <w:sz w:val="24"/>
        </w:rPr>
      </w:pPr>
      <w:r>
        <w:rPr>
          <w:rFonts w:hint="eastAsia"/>
          <w:b/>
          <w:sz w:val="24"/>
        </w:rPr>
        <w:t xml:space="preserve">     </w:t>
      </w:r>
      <w:r>
        <w:rPr>
          <w:rFonts w:hint="eastAsia"/>
          <w:sz w:val="24"/>
        </w:rPr>
        <w:t xml:space="preserve"> 结算方式按东南电化公司财务的付款制度执行；本合同全部费用以人民币计价结算，委托人付给受托人的费用，每次付款均需提供合法有效的票据凭证。委托人收到发票后30日内电汇100%支付。</w:t>
      </w:r>
    </w:p>
    <w:p w14:paraId="03472C53">
      <w:pPr>
        <w:spacing w:line="360" w:lineRule="auto"/>
        <w:rPr>
          <w:rFonts w:hint="eastAsia"/>
          <w:b/>
          <w:sz w:val="24"/>
        </w:rPr>
      </w:pPr>
      <w:r>
        <w:rPr>
          <w:rFonts w:hint="eastAsia"/>
          <w:b/>
          <w:sz w:val="24"/>
        </w:rPr>
        <w:t>6.3  审减罚款</w:t>
      </w:r>
    </w:p>
    <w:p w14:paraId="6EC9D116">
      <w:pPr>
        <w:spacing w:line="360" w:lineRule="auto"/>
        <w:ind w:firstLine="720" w:firstLineChars="300"/>
        <w:rPr>
          <w:rFonts w:hint="eastAsia"/>
          <w:sz w:val="24"/>
        </w:rPr>
      </w:pPr>
      <w:r>
        <w:rPr>
          <w:rFonts w:hint="eastAsia"/>
          <w:sz w:val="24"/>
        </w:rPr>
        <w:t>受托人应如实提报结算，结算审减罚款执行东南电化统一规定。委托人有权对本合同的履行情况进行审计，包括但不限于对结算价格、结算数量、服务质量等方面的内容进行审计，如发现结算情况与合同冲突或者错误情形，对委托人费用产生影响的，委托人有权据实调整，受托人应退回相关费用或者在后续结算中予以扣除。</w:t>
      </w:r>
    </w:p>
    <w:p w14:paraId="63114CD5">
      <w:pPr>
        <w:spacing w:before="100" w:after="100"/>
        <w:jc w:val="left"/>
        <w:rPr>
          <w:rFonts w:hint="eastAsia" w:ascii="宋体" w:hAnsi="宋体"/>
          <w:b/>
          <w:sz w:val="24"/>
          <w:szCs w:val="20"/>
        </w:rPr>
      </w:pPr>
      <w:r>
        <w:rPr>
          <w:rFonts w:hint="eastAsia"/>
          <w:b/>
          <w:sz w:val="24"/>
        </w:rPr>
        <w:t>七、</w:t>
      </w:r>
      <w:r>
        <w:rPr>
          <w:rFonts w:hint="eastAsia" w:ascii="宋体" w:hAnsi="宋体"/>
          <w:b/>
          <w:sz w:val="24"/>
          <w:szCs w:val="20"/>
        </w:rPr>
        <w:t>双方权利和义务</w:t>
      </w:r>
    </w:p>
    <w:p w14:paraId="527DD57F">
      <w:pPr>
        <w:spacing w:before="100" w:after="100"/>
        <w:jc w:val="left"/>
        <w:rPr>
          <w:rFonts w:ascii="宋体" w:hAnsi="宋体"/>
          <w:b/>
          <w:bCs/>
          <w:sz w:val="24"/>
          <w:szCs w:val="24"/>
        </w:rPr>
      </w:pPr>
      <w:r>
        <w:rPr>
          <w:rFonts w:hint="eastAsia" w:ascii="宋体" w:hAnsi="宋体"/>
          <w:b/>
          <w:bCs/>
          <w:sz w:val="24"/>
          <w:szCs w:val="24"/>
        </w:rPr>
        <w:t>7.1委托人权利和义务</w:t>
      </w:r>
    </w:p>
    <w:p w14:paraId="265B2B64">
      <w:pPr>
        <w:spacing w:before="100" w:after="100"/>
        <w:jc w:val="left"/>
        <w:rPr>
          <w:rFonts w:ascii="宋体" w:hAnsi="宋体"/>
          <w:sz w:val="24"/>
          <w:szCs w:val="24"/>
        </w:rPr>
      </w:pPr>
      <w:r>
        <w:rPr>
          <w:rFonts w:hint="eastAsia" w:ascii="宋体" w:hAnsi="宋体"/>
          <w:sz w:val="24"/>
          <w:szCs w:val="24"/>
        </w:rPr>
        <w:t>7.1.1负责审核审批受托人的管理模式、规章制度、组织体系、质保体系、HSE体系、工机器具的配置以及人员数量、资质构成等。</w:t>
      </w:r>
    </w:p>
    <w:p w14:paraId="3F9D4ADB">
      <w:pPr>
        <w:spacing w:before="100" w:after="100"/>
        <w:jc w:val="left"/>
        <w:rPr>
          <w:rFonts w:ascii="宋体" w:hAnsi="宋体"/>
          <w:sz w:val="24"/>
          <w:szCs w:val="24"/>
        </w:rPr>
      </w:pPr>
      <w:r>
        <w:rPr>
          <w:rFonts w:hint="eastAsia" w:ascii="宋体" w:hAnsi="宋体"/>
          <w:sz w:val="24"/>
          <w:szCs w:val="24"/>
        </w:rPr>
        <w:t>7.1.2负责考核受托人的工作质量和管理制度执行情况。</w:t>
      </w:r>
    </w:p>
    <w:p w14:paraId="51185574">
      <w:pPr>
        <w:spacing w:before="100" w:after="100"/>
        <w:jc w:val="left"/>
        <w:rPr>
          <w:rFonts w:ascii="宋体" w:hAnsi="宋体"/>
          <w:sz w:val="24"/>
          <w:szCs w:val="24"/>
        </w:rPr>
      </w:pPr>
      <w:r>
        <w:rPr>
          <w:rFonts w:hint="eastAsia" w:ascii="宋体" w:hAnsi="宋体"/>
          <w:sz w:val="24"/>
          <w:szCs w:val="24"/>
        </w:rPr>
        <w:t>7.1.3负责组织大机组及关键设备施工的技术交底和作业指导，并监督施工技术方案的实施。</w:t>
      </w:r>
    </w:p>
    <w:p w14:paraId="490776F0">
      <w:pPr>
        <w:spacing w:before="100" w:after="100"/>
        <w:jc w:val="left"/>
        <w:rPr>
          <w:rFonts w:ascii="宋体" w:hAnsi="宋体"/>
          <w:sz w:val="24"/>
          <w:szCs w:val="24"/>
        </w:rPr>
      </w:pPr>
      <w:r>
        <w:rPr>
          <w:rFonts w:hint="eastAsia" w:ascii="宋体" w:hAnsi="宋体"/>
          <w:sz w:val="24"/>
          <w:szCs w:val="24"/>
        </w:rPr>
        <w:t>7.1.4负责协助受托人解决施工需要的大型、特殊和专用机具等。</w:t>
      </w:r>
    </w:p>
    <w:p w14:paraId="22F9FB5C">
      <w:pPr>
        <w:spacing w:before="100" w:after="100"/>
        <w:jc w:val="left"/>
        <w:rPr>
          <w:rFonts w:ascii="宋体" w:hAnsi="宋体"/>
          <w:sz w:val="24"/>
          <w:szCs w:val="24"/>
        </w:rPr>
      </w:pPr>
      <w:r>
        <w:rPr>
          <w:rFonts w:hint="eastAsia" w:ascii="宋体" w:hAnsi="宋体"/>
          <w:sz w:val="24"/>
          <w:szCs w:val="24"/>
        </w:rPr>
        <w:t>7.1.5负责对维护维修的施工质量和竣工资料进行验收，如未能达到相应的标准，委托人有权令其返工或采取其他措施，由此造成的损失由受托人负责。</w:t>
      </w:r>
    </w:p>
    <w:p w14:paraId="5FE9BB58">
      <w:pPr>
        <w:spacing w:before="100" w:after="100"/>
        <w:jc w:val="left"/>
        <w:rPr>
          <w:rFonts w:ascii="宋体" w:hAnsi="宋体"/>
          <w:sz w:val="24"/>
          <w:szCs w:val="24"/>
        </w:rPr>
      </w:pPr>
      <w:r>
        <w:rPr>
          <w:rFonts w:hint="eastAsia" w:ascii="宋体" w:hAnsi="宋体"/>
          <w:sz w:val="24"/>
          <w:szCs w:val="24"/>
        </w:rPr>
        <w:t>7.1.6负责提供有关设备、设施的技术资料，对新材料、新设备、新技术的使用进行专业指导。</w:t>
      </w:r>
    </w:p>
    <w:p w14:paraId="19E3FA1B">
      <w:pPr>
        <w:spacing w:before="100" w:after="100"/>
        <w:jc w:val="left"/>
        <w:rPr>
          <w:rFonts w:ascii="宋体" w:hAnsi="宋体"/>
          <w:sz w:val="24"/>
          <w:szCs w:val="24"/>
        </w:rPr>
      </w:pPr>
      <w:r>
        <w:rPr>
          <w:rFonts w:hint="eastAsia" w:ascii="宋体" w:hAnsi="宋体"/>
          <w:sz w:val="24"/>
          <w:szCs w:val="24"/>
        </w:rPr>
        <w:t>7.1.7负责编制月度、追加和变更维修计划，按时提供给受托人，并监督执行。</w:t>
      </w:r>
    </w:p>
    <w:p w14:paraId="0A393908">
      <w:pPr>
        <w:spacing w:before="100" w:after="100"/>
        <w:jc w:val="left"/>
        <w:rPr>
          <w:rFonts w:ascii="宋体" w:hAnsi="宋体"/>
          <w:sz w:val="24"/>
          <w:szCs w:val="24"/>
        </w:rPr>
      </w:pPr>
      <w:r>
        <w:rPr>
          <w:rFonts w:hint="eastAsia" w:ascii="宋体" w:hAnsi="宋体"/>
          <w:sz w:val="24"/>
          <w:szCs w:val="24"/>
        </w:rPr>
        <w:t>7.1.8根据维护维修项目具体情况及时提供相应的设计图纸、设计变更等有关的施工技术资料。</w:t>
      </w:r>
    </w:p>
    <w:p w14:paraId="3C33EFAA">
      <w:pPr>
        <w:spacing w:before="100" w:after="100"/>
        <w:jc w:val="left"/>
        <w:rPr>
          <w:rFonts w:ascii="宋体" w:hAnsi="宋体"/>
          <w:sz w:val="24"/>
          <w:szCs w:val="24"/>
        </w:rPr>
      </w:pPr>
      <w:r>
        <w:rPr>
          <w:rFonts w:hint="eastAsia" w:ascii="宋体" w:hAnsi="宋体"/>
          <w:sz w:val="24"/>
          <w:szCs w:val="24"/>
        </w:rPr>
        <w:t>7.1.9负责协助受托人办理维护维修工作所需各种作业票证，并向受托人提供必要的安全作业条件。</w:t>
      </w:r>
    </w:p>
    <w:p w14:paraId="49BDC68D">
      <w:pPr>
        <w:spacing w:before="100" w:after="100"/>
        <w:jc w:val="left"/>
        <w:rPr>
          <w:rFonts w:ascii="宋体" w:hAnsi="宋体"/>
          <w:sz w:val="24"/>
          <w:szCs w:val="24"/>
        </w:rPr>
      </w:pPr>
      <w:r>
        <w:rPr>
          <w:rFonts w:hint="eastAsia" w:ascii="宋体" w:hAnsi="宋体"/>
          <w:sz w:val="24"/>
          <w:szCs w:val="24"/>
        </w:rPr>
        <w:t>7.1.10负责提供必要的工作场所和水、电、气、风等作业条件。</w:t>
      </w:r>
    </w:p>
    <w:p w14:paraId="1A841370">
      <w:pPr>
        <w:spacing w:before="100" w:after="100"/>
        <w:jc w:val="left"/>
        <w:rPr>
          <w:rFonts w:ascii="宋体" w:hAnsi="宋体"/>
          <w:sz w:val="24"/>
          <w:szCs w:val="24"/>
        </w:rPr>
      </w:pPr>
      <w:r>
        <w:rPr>
          <w:rFonts w:hint="eastAsia" w:ascii="宋体" w:hAnsi="宋体"/>
          <w:sz w:val="24"/>
          <w:szCs w:val="24"/>
        </w:rPr>
        <w:t>7.1.11负责提供维护维修所要的主材和备品配件。</w:t>
      </w:r>
    </w:p>
    <w:p w14:paraId="4385F818">
      <w:pPr>
        <w:spacing w:before="100" w:after="100"/>
        <w:jc w:val="left"/>
        <w:rPr>
          <w:rFonts w:ascii="宋体" w:hAnsi="宋体"/>
          <w:sz w:val="24"/>
          <w:szCs w:val="24"/>
        </w:rPr>
      </w:pPr>
      <w:r>
        <w:rPr>
          <w:rFonts w:hint="eastAsia" w:ascii="宋体" w:hAnsi="宋体"/>
          <w:sz w:val="24"/>
          <w:szCs w:val="24"/>
        </w:rPr>
        <w:t>7.1.12负责对各个维护维修单位之间工作的协调联系。</w:t>
      </w:r>
    </w:p>
    <w:p w14:paraId="1EDA9B17">
      <w:pPr>
        <w:spacing w:before="100" w:after="100"/>
        <w:jc w:val="left"/>
        <w:rPr>
          <w:rFonts w:ascii="宋体" w:hAnsi="宋体"/>
          <w:sz w:val="24"/>
          <w:szCs w:val="24"/>
        </w:rPr>
      </w:pPr>
      <w:r>
        <w:rPr>
          <w:rFonts w:hint="eastAsia" w:ascii="宋体" w:hAnsi="宋体"/>
          <w:sz w:val="24"/>
          <w:szCs w:val="24"/>
        </w:rPr>
        <w:t>7.1.13有权对受托人不称职或考核不合格人员提出更换及处理意见。</w:t>
      </w:r>
    </w:p>
    <w:p w14:paraId="3654311B">
      <w:pPr>
        <w:spacing w:before="100" w:after="100"/>
        <w:jc w:val="left"/>
        <w:rPr>
          <w:rFonts w:hint="eastAsia" w:ascii="宋体" w:hAnsi="宋体"/>
          <w:sz w:val="24"/>
          <w:szCs w:val="24"/>
        </w:rPr>
      </w:pPr>
      <w:r>
        <w:rPr>
          <w:rFonts w:hint="eastAsia" w:ascii="宋体" w:hAnsi="宋体"/>
          <w:sz w:val="24"/>
          <w:szCs w:val="24"/>
        </w:rPr>
        <w:t>7.1.14对履行合同中知悉的对方技术和商业秘密信息负有保密义务，不得向任何第三方泄露或公开，并不得用于本合同之外的其他目的使用。</w:t>
      </w:r>
    </w:p>
    <w:p w14:paraId="35F9897A">
      <w:pPr>
        <w:spacing w:before="100" w:after="100"/>
        <w:jc w:val="left"/>
        <w:rPr>
          <w:rFonts w:ascii="宋体" w:hAnsi="宋体"/>
          <w:b/>
          <w:sz w:val="24"/>
          <w:szCs w:val="24"/>
        </w:rPr>
      </w:pPr>
      <w:r>
        <w:rPr>
          <w:rFonts w:hint="eastAsia" w:ascii="宋体" w:hAnsi="宋体"/>
          <w:b/>
          <w:sz w:val="24"/>
          <w:szCs w:val="24"/>
        </w:rPr>
        <w:t>7.2、受托人权利与义务</w:t>
      </w:r>
    </w:p>
    <w:p w14:paraId="448E102E">
      <w:pPr>
        <w:spacing w:before="100" w:after="100"/>
        <w:jc w:val="left"/>
        <w:rPr>
          <w:rFonts w:ascii="宋体" w:hAnsi="宋体"/>
          <w:sz w:val="24"/>
          <w:szCs w:val="24"/>
        </w:rPr>
      </w:pPr>
      <w:r>
        <w:rPr>
          <w:rFonts w:hint="eastAsia" w:ascii="宋体" w:hAnsi="宋体"/>
          <w:sz w:val="24"/>
          <w:szCs w:val="24"/>
        </w:rPr>
        <w:t>7.2.1负责建立适应委托人管理模式、运营机制、ERP管理和生产所需要的管理机构和规章制度，建立健全生产技术、HSE、质量保证以及全天候维护维修体系，自觉接受委托人的监督检查、考核和管理。</w:t>
      </w:r>
    </w:p>
    <w:p w14:paraId="431EA3D9">
      <w:pPr>
        <w:spacing w:before="100" w:after="100"/>
        <w:jc w:val="left"/>
        <w:rPr>
          <w:rFonts w:ascii="宋体" w:hAnsi="宋体"/>
          <w:sz w:val="24"/>
          <w:szCs w:val="24"/>
        </w:rPr>
      </w:pPr>
      <w:r>
        <w:rPr>
          <w:rFonts w:hint="eastAsia" w:ascii="宋体" w:hAnsi="宋体"/>
          <w:sz w:val="24"/>
          <w:szCs w:val="24"/>
        </w:rPr>
        <w:t>7.2.2按照委托人的要求进行所辖范围的维护维修工作，确保所辖范围内的设备完好。</w:t>
      </w:r>
    </w:p>
    <w:p w14:paraId="7835BCF4">
      <w:pPr>
        <w:spacing w:before="100" w:after="100"/>
        <w:jc w:val="left"/>
        <w:rPr>
          <w:rFonts w:ascii="宋体" w:hAnsi="宋体"/>
          <w:sz w:val="24"/>
          <w:szCs w:val="24"/>
        </w:rPr>
      </w:pPr>
      <w:r>
        <w:rPr>
          <w:rFonts w:hint="eastAsia" w:ascii="宋体" w:hAnsi="宋体"/>
          <w:sz w:val="24"/>
          <w:szCs w:val="24"/>
        </w:rPr>
        <w:t>7.2.3配备足够、有工作经历和资质、能胜任工作要求的管理干部、技术人员及维护维修工人，确保人员的素质和稳定性，骨干人员的变动须报委托人批准。</w:t>
      </w:r>
    </w:p>
    <w:p w14:paraId="1C446F37">
      <w:pPr>
        <w:spacing w:before="100" w:after="100"/>
        <w:jc w:val="left"/>
        <w:rPr>
          <w:rFonts w:ascii="宋体" w:hAnsi="宋体"/>
          <w:sz w:val="24"/>
          <w:szCs w:val="24"/>
        </w:rPr>
      </w:pPr>
      <w:r>
        <w:rPr>
          <w:rFonts w:hint="eastAsia" w:ascii="宋体" w:hAnsi="宋体"/>
          <w:sz w:val="24"/>
          <w:szCs w:val="24"/>
        </w:rPr>
        <w:t>7.2.4严格按合同约定配备足够、完好的工具、测量器具，如：货车、各种常用测量工具、标准仪器仪表、作业工具等并固定用于能满足所辖范围维护维修生产需要为准。</w:t>
      </w:r>
    </w:p>
    <w:p w14:paraId="08415357">
      <w:pPr>
        <w:spacing w:before="100" w:after="100"/>
        <w:jc w:val="left"/>
        <w:rPr>
          <w:rFonts w:ascii="宋体" w:hAnsi="宋体"/>
          <w:sz w:val="24"/>
          <w:szCs w:val="24"/>
        </w:rPr>
      </w:pPr>
      <w:r>
        <w:rPr>
          <w:rFonts w:hint="eastAsia" w:ascii="宋体" w:hAnsi="宋体"/>
          <w:sz w:val="24"/>
          <w:szCs w:val="24"/>
        </w:rPr>
        <w:t>7.2.5提供维护维修定额范围内的辅助材料及低值易耗品等。对检维修质量有影响的辅助材料，其供应商须经委托人确认。</w:t>
      </w:r>
    </w:p>
    <w:p w14:paraId="5F3805BA">
      <w:pPr>
        <w:spacing w:before="100" w:after="100"/>
        <w:jc w:val="left"/>
        <w:rPr>
          <w:rFonts w:ascii="宋体" w:hAnsi="宋体"/>
          <w:strike/>
          <w:sz w:val="24"/>
          <w:szCs w:val="24"/>
        </w:rPr>
      </w:pPr>
      <w:r>
        <w:rPr>
          <w:rFonts w:hint="eastAsia" w:ascii="宋体" w:hAnsi="宋体"/>
          <w:sz w:val="24"/>
          <w:szCs w:val="24"/>
        </w:rPr>
        <w:t>7.2.6配备必要的办公设施，如：办公桌椅、计算机、打印机、电话、传真、投影仪等，以能满足正常办公生产需要为准；配备相应的交通设施。</w:t>
      </w:r>
    </w:p>
    <w:p w14:paraId="3773183E">
      <w:pPr>
        <w:spacing w:before="100" w:after="100"/>
        <w:jc w:val="left"/>
        <w:rPr>
          <w:rFonts w:ascii="宋体" w:hAnsi="宋体"/>
          <w:sz w:val="24"/>
          <w:szCs w:val="24"/>
        </w:rPr>
      </w:pPr>
      <w:r>
        <w:rPr>
          <w:rFonts w:hint="eastAsia" w:ascii="宋体" w:hAnsi="宋体"/>
          <w:sz w:val="24"/>
          <w:szCs w:val="24"/>
        </w:rPr>
        <w:t>7.2.7负责员工的安全教育。严格遵守委托人的各项规章管理制度，按委托人规定的作业流程作业。</w:t>
      </w:r>
    </w:p>
    <w:p w14:paraId="4E921A15">
      <w:pPr>
        <w:spacing w:before="100" w:after="100"/>
        <w:jc w:val="left"/>
        <w:rPr>
          <w:rFonts w:ascii="宋体" w:hAnsi="宋体"/>
          <w:sz w:val="24"/>
          <w:szCs w:val="24"/>
        </w:rPr>
      </w:pPr>
      <w:r>
        <w:rPr>
          <w:rFonts w:hint="eastAsia" w:ascii="宋体" w:hAnsi="宋体"/>
          <w:sz w:val="24"/>
          <w:szCs w:val="24"/>
        </w:rPr>
        <w:t>7.2.8负责维护维修施工方案的编制。</w:t>
      </w:r>
    </w:p>
    <w:p w14:paraId="74F5B1E0">
      <w:pPr>
        <w:spacing w:before="100" w:after="100"/>
        <w:jc w:val="left"/>
        <w:rPr>
          <w:rFonts w:ascii="宋体" w:hAnsi="宋体"/>
          <w:sz w:val="24"/>
          <w:szCs w:val="24"/>
        </w:rPr>
      </w:pPr>
      <w:r>
        <w:rPr>
          <w:rFonts w:hint="eastAsia" w:ascii="宋体" w:hAnsi="宋体"/>
          <w:sz w:val="24"/>
          <w:szCs w:val="24"/>
        </w:rPr>
        <w:t>7.2.9负责组织维护维修施工现场的技术、质量、文明、安全管理和零配件测绘等工作，并接受委托人的监督检查和考核。</w:t>
      </w:r>
    </w:p>
    <w:p w14:paraId="3F953209">
      <w:pPr>
        <w:spacing w:before="100" w:after="100"/>
        <w:jc w:val="left"/>
        <w:rPr>
          <w:rFonts w:ascii="宋体" w:hAnsi="宋体"/>
          <w:sz w:val="24"/>
          <w:szCs w:val="24"/>
        </w:rPr>
      </w:pPr>
      <w:r>
        <w:rPr>
          <w:rFonts w:hint="eastAsia" w:ascii="宋体" w:hAnsi="宋体"/>
          <w:sz w:val="24"/>
          <w:szCs w:val="24"/>
        </w:rPr>
        <w:t>7.2.10按委托人要求，定时定点的组织好设备的巡检、维护维修和定期保养，及时处理巡检、点检中发现的设备故障和隐患，做好记录，并通知委托人。在作业中如要使用新技术、新材料和新方法，须经委托人批准。</w:t>
      </w:r>
    </w:p>
    <w:p w14:paraId="7C9C5AA0">
      <w:pPr>
        <w:spacing w:before="100" w:after="100"/>
        <w:jc w:val="left"/>
        <w:rPr>
          <w:rFonts w:ascii="宋体" w:hAnsi="宋体"/>
          <w:sz w:val="24"/>
          <w:szCs w:val="24"/>
        </w:rPr>
      </w:pPr>
      <w:r>
        <w:rPr>
          <w:rFonts w:hint="eastAsia" w:ascii="宋体" w:hAnsi="宋体"/>
          <w:sz w:val="24"/>
          <w:szCs w:val="24"/>
        </w:rPr>
        <w:t>7.2.11维护维修的调度系统必须听从委托人的指挥，接到设备故障检修或抢修指令后，维护人员要及时赶到现场处理故障，必要时做到设备抢修不过夜。抢修所产生的加班时间经委托人审核后可作换休时间，不以加班费的形式体现。但人员必须满足生产要求。</w:t>
      </w:r>
    </w:p>
    <w:p w14:paraId="1ADCBE63">
      <w:pPr>
        <w:spacing w:before="100" w:after="100"/>
        <w:jc w:val="left"/>
        <w:rPr>
          <w:rFonts w:ascii="宋体" w:hAnsi="宋体"/>
          <w:sz w:val="24"/>
          <w:szCs w:val="24"/>
        </w:rPr>
      </w:pPr>
      <w:r>
        <w:rPr>
          <w:rFonts w:hint="eastAsia" w:ascii="宋体" w:hAnsi="宋体"/>
          <w:sz w:val="24"/>
          <w:szCs w:val="24"/>
        </w:rPr>
        <w:t>7.2.12在维护维修中，发现设备超温、超压、超负荷、超速和异常运行情况，要及时通知委托人主管部门和有关人员。</w:t>
      </w:r>
    </w:p>
    <w:p w14:paraId="1BCE8552">
      <w:pPr>
        <w:spacing w:before="100" w:after="100"/>
        <w:jc w:val="left"/>
        <w:rPr>
          <w:rFonts w:ascii="宋体" w:hAnsi="宋体"/>
          <w:sz w:val="24"/>
          <w:szCs w:val="24"/>
        </w:rPr>
      </w:pPr>
      <w:r>
        <w:rPr>
          <w:rFonts w:hint="eastAsia" w:ascii="宋体" w:hAnsi="宋体"/>
          <w:sz w:val="24"/>
          <w:szCs w:val="24"/>
        </w:rPr>
        <w:t>7.2.13对设备及管理方面存在的问题，受托人有权向委托人提出改进方案或合理化建议。</w:t>
      </w:r>
    </w:p>
    <w:p w14:paraId="567B9A96">
      <w:pPr>
        <w:spacing w:before="100" w:after="100"/>
        <w:jc w:val="left"/>
        <w:rPr>
          <w:rFonts w:ascii="宋体" w:hAnsi="宋体"/>
          <w:sz w:val="24"/>
          <w:szCs w:val="24"/>
        </w:rPr>
      </w:pPr>
      <w:r>
        <w:rPr>
          <w:rFonts w:hint="eastAsia" w:ascii="宋体" w:hAnsi="宋体"/>
          <w:sz w:val="24"/>
          <w:szCs w:val="24"/>
        </w:rPr>
        <w:t>7.2.14负责维护维修范围内的设备技术状况月度、年度技术分析，协助委托人建立健全完善的各类设备技术档案资料。对月度、追加和变更维修计划向委托人提出建议。</w:t>
      </w:r>
    </w:p>
    <w:p w14:paraId="1BC4F688">
      <w:pPr>
        <w:spacing w:before="100" w:after="100"/>
        <w:jc w:val="left"/>
        <w:rPr>
          <w:rFonts w:ascii="宋体" w:hAnsi="宋体"/>
          <w:sz w:val="24"/>
          <w:szCs w:val="24"/>
        </w:rPr>
      </w:pPr>
      <w:r>
        <w:rPr>
          <w:rFonts w:hint="eastAsia" w:ascii="宋体" w:hAnsi="宋体"/>
          <w:sz w:val="24"/>
          <w:szCs w:val="24"/>
        </w:rPr>
        <w:t>7.2.15负责编制维护维修所需的材料计划和备品配件计划，按规定时间报送委托人。</w:t>
      </w:r>
    </w:p>
    <w:p w14:paraId="47413417">
      <w:pPr>
        <w:spacing w:before="100" w:after="100"/>
        <w:jc w:val="left"/>
        <w:rPr>
          <w:rFonts w:ascii="宋体" w:hAnsi="宋体"/>
          <w:sz w:val="24"/>
          <w:szCs w:val="24"/>
        </w:rPr>
      </w:pPr>
      <w:r>
        <w:rPr>
          <w:rFonts w:hint="eastAsia" w:ascii="宋体" w:hAnsi="宋体"/>
          <w:sz w:val="24"/>
          <w:szCs w:val="24"/>
        </w:rPr>
        <w:t>7.2.16对考核人考核不合格或不称职的维护人员应予以更换。</w:t>
      </w:r>
    </w:p>
    <w:p w14:paraId="1AD5591B">
      <w:pPr>
        <w:spacing w:before="100" w:after="100"/>
        <w:jc w:val="left"/>
        <w:rPr>
          <w:rFonts w:ascii="宋体" w:hAnsi="宋体"/>
          <w:sz w:val="24"/>
          <w:szCs w:val="24"/>
        </w:rPr>
      </w:pPr>
      <w:r>
        <w:rPr>
          <w:rFonts w:hint="eastAsia" w:ascii="宋体" w:hAnsi="宋体"/>
          <w:sz w:val="24"/>
          <w:szCs w:val="24"/>
        </w:rPr>
        <w:t>7.2.17在与其他维护维修单位共用现场机柜间的情况下，应对其他单位在该机柜间内的维护维修作业进行监护；需与其他维护维修单位共同处理设备问题时，应主动配合，提供方便。</w:t>
      </w:r>
    </w:p>
    <w:p w14:paraId="6EA4D417">
      <w:pPr>
        <w:spacing w:before="100" w:after="100"/>
        <w:jc w:val="left"/>
        <w:rPr>
          <w:rFonts w:ascii="宋体" w:hAnsi="宋体"/>
          <w:sz w:val="24"/>
          <w:szCs w:val="24"/>
        </w:rPr>
      </w:pPr>
      <w:r>
        <w:rPr>
          <w:rFonts w:hint="eastAsia" w:ascii="宋体" w:hAnsi="宋体"/>
          <w:sz w:val="24"/>
          <w:szCs w:val="24"/>
        </w:rPr>
        <w:t>7.2.18对履行合同中知悉的对方技术和商业秘密信息负有保密义务，不得向任何第三方泄露或公开，并不得用于本合同之外的其他目的使用；离职人员需如实告知去向，若离职员工去到</w:t>
      </w:r>
      <w:r>
        <w:rPr>
          <w:rFonts w:hint="eastAsia" w:ascii="宋体" w:hAnsi="宋体"/>
          <w:sz w:val="24"/>
          <w:szCs w:val="24"/>
          <w:lang w:eastAsia="zh-CN"/>
        </w:rPr>
        <w:t>东南电化</w:t>
      </w:r>
      <w:r>
        <w:rPr>
          <w:rFonts w:hint="eastAsia" w:ascii="宋体" w:hAnsi="宋体"/>
          <w:sz w:val="24"/>
          <w:szCs w:val="24"/>
        </w:rPr>
        <w:t>竞争对手公司，乙方故意隐瞒不报，视为违反保密义务。</w:t>
      </w:r>
    </w:p>
    <w:p w14:paraId="6F21E501">
      <w:pPr>
        <w:spacing w:before="100" w:after="100"/>
        <w:jc w:val="left"/>
        <w:rPr>
          <w:rFonts w:ascii="宋体" w:hAnsi="宋体"/>
          <w:sz w:val="24"/>
          <w:szCs w:val="24"/>
        </w:rPr>
      </w:pPr>
      <w:r>
        <w:rPr>
          <w:rFonts w:hint="eastAsia" w:ascii="宋体" w:hAnsi="宋体"/>
          <w:sz w:val="24"/>
          <w:szCs w:val="24"/>
        </w:rPr>
        <w:t>7.2.19受托人不得将其承担的维护维修项目转包或分包给其他第三人完成。</w:t>
      </w:r>
    </w:p>
    <w:p w14:paraId="4B3815DC">
      <w:pPr>
        <w:spacing w:before="100" w:after="100"/>
        <w:jc w:val="left"/>
        <w:rPr>
          <w:rFonts w:hint="eastAsia" w:ascii="宋体" w:hAnsi="宋体"/>
          <w:color w:val="auto"/>
          <w:sz w:val="24"/>
          <w:szCs w:val="24"/>
        </w:rPr>
      </w:pPr>
      <w:r>
        <w:rPr>
          <w:rFonts w:hint="eastAsia" w:ascii="宋体" w:hAnsi="宋体"/>
          <w:color w:val="auto"/>
          <w:sz w:val="24"/>
          <w:szCs w:val="24"/>
        </w:rPr>
        <w:t>7.2.20按照合同约定配备维护维修工器具。</w:t>
      </w:r>
    </w:p>
    <w:p w14:paraId="4BD9D687">
      <w:pPr>
        <w:spacing w:before="100" w:after="1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7.2.21每月对工作进行详细分析，可采用但不限于word总结等工作记录，内容包含改善点、隐患偏差、维护量较高汇总、原因分析、日常培训记录。</w:t>
      </w:r>
    </w:p>
    <w:p w14:paraId="7D8F267F">
      <w:pPr>
        <w:spacing w:before="100" w:after="1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7.2.22每日固定时间段到委托方处进行纸质签到、打卡。</w:t>
      </w:r>
    </w:p>
    <w:p w14:paraId="4C1B904B">
      <w:pPr>
        <w:spacing w:before="100" w:after="100"/>
        <w:ind w:firstLine="361" w:firstLineChars="15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八、争议的解决</w:t>
      </w:r>
    </w:p>
    <w:p w14:paraId="26D9C923">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8.1双方在执行本合同过程中所遇到的争议，应本着友好协商的态度解决。</w:t>
      </w:r>
    </w:p>
    <w:p w14:paraId="16212E96">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8.2如果协商解决仍无法达成协议，可向本合同履行地人民法院提起诉讼。</w:t>
      </w:r>
    </w:p>
    <w:p w14:paraId="6ADB8E1C">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8.3在协商或人民法院审理期间，合同仍继续有效，甲乙双方应继续履行并承担合同各项条款所规定的责任和义务。</w:t>
      </w:r>
    </w:p>
    <w:p w14:paraId="4CF96D1B">
      <w:pPr>
        <w:spacing w:before="100" w:after="1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sz w:val="24"/>
          <w:szCs w:val="24"/>
        </w:rPr>
        <w:t>九、合同生效、解除及其它</w:t>
      </w:r>
    </w:p>
    <w:p w14:paraId="06068EF2">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9.1本合同自双方或其授权代表签字并加盖合同专用章后生效。服务期满，双方结算完毕后，本合同自行终止。若合同到期后，如双方无意变更合同内容或重新签定新合同，则视为本合同期自动延续3个月。</w:t>
      </w:r>
    </w:p>
    <w:p w14:paraId="79ED6976">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9.2不可抗力</w:t>
      </w:r>
    </w:p>
    <w:p w14:paraId="6A669CDD">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9.2.1双方约定，发生以下情况并直接导致委托人或受托人生产和运营无法正常进行的可视为不可抗力：</w:t>
      </w:r>
    </w:p>
    <w:p w14:paraId="4180DDCF">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地震、洪水、雷电、8级（含8级）以上热带风暴等自然灾害；</w:t>
      </w:r>
    </w:p>
    <w:p w14:paraId="14375B10">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战争、武装冲突、暴乱、动乱；</w:t>
      </w:r>
    </w:p>
    <w:p w14:paraId="3DE2BDF1">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重大疫情、空中飞行物坠落等双方均无法掌控的事件；</w:t>
      </w:r>
    </w:p>
    <w:p w14:paraId="3B74E0B2">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国家政府在合同生效后颁布的法律、法规、政策和行政指令。</w:t>
      </w:r>
    </w:p>
    <w:p w14:paraId="204CD29E">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9.2.2因不可抗力，导致受托人不能履行合同或无法保证合同规定的考核指标，则该方可不负违约责任，但应立即通知对方，并采取积极有效的措施减少另一方的损失。</w:t>
      </w:r>
    </w:p>
    <w:p w14:paraId="10AEA241">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9.2.3因不可抗力造成的财产损失、人员伤亡和发生的费用由其所在方自行承担。</w:t>
      </w:r>
    </w:p>
    <w:p w14:paraId="0225D67F">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9.3合同履行过程中因受托人过失给委托人或其他第三人造成经济损失的，受托人应承担经济赔偿责任，赔偿金额最高不超过本合同维护维修费总金额。</w:t>
      </w:r>
    </w:p>
    <w:p w14:paraId="77835ED0">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9.4解除合同</w:t>
      </w:r>
    </w:p>
    <w:p w14:paraId="77DCD203">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9.4.1因一方违约致使合同无法履行，可以解除本合同；受托人违反本合同约定，将其承担的工作转包或分包给其他单位完成时，委托人有权解除本合同；因受托人不能胜任本合同约定的维护维修工作、或经委托人考核发现受托人的维护维修工作达不到本合同及附件约定的工作标准和技术要求，委托人有权解除本合同。</w:t>
      </w:r>
    </w:p>
    <w:p w14:paraId="320C7A47">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9.4.2一方要求解除合同，必须以书面形式向对方发出解除合同的通知，并在发出通知前60天书面通知对方，此期间内双方均应继续履行合同。因违约给对方造成的损失由责任方承担。对解除合同有争议的，按本合同关于争议的约定处理。合同解除后，不影响双方在合同中约定的违约条款、争议条款、结算和清理条款以及保密条款的效力。</w:t>
      </w:r>
    </w:p>
    <w:p w14:paraId="06F54BD0">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9.4.3在合同解除后，受托人应如数移交属委托人的设施、设备、专用工具和全部技术资料等，如有遗失和损坏应予以赔偿。</w:t>
      </w:r>
    </w:p>
    <w:p w14:paraId="70FD637E">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9.4.4合同解除并不当然免除合同各项条款规定的责任和义务。</w:t>
      </w:r>
    </w:p>
    <w:p w14:paraId="3B895A65">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9.5合同期满，双方任何一方不论同意或拒绝续延合同，都应在合同期满三个月前书面通知对方。</w:t>
      </w:r>
    </w:p>
    <w:p w14:paraId="3CF3EC87">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9.6本合同的解释优先权顺序为本合同文本、本合同的附件和受托人呈报的维护维修方案。本合同附件共八个。</w:t>
      </w:r>
    </w:p>
    <w:p w14:paraId="40B6F03F">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9.7本合同未尽事宜，参考《石油化工行业生产装置维护维修费用定额》，并协商解决。</w:t>
      </w:r>
    </w:p>
    <w:p w14:paraId="0DBE0B36">
      <w:pPr>
        <w:spacing w:before="100" w:after="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9.8本合同共一式四份，委托人执</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份，受托人执</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份。</w:t>
      </w:r>
    </w:p>
    <w:p w14:paraId="11602D56">
      <w:pPr>
        <w:spacing w:line="360" w:lineRule="auto"/>
        <w:rPr>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376E">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0CC51">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35D0CC51">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13199"/>
    <w:multiLevelType w:val="multilevel"/>
    <w:tmpl w:val="7F41319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B6"/>
    <w:rsid w:val="00086C79"/>
    <w:rsid w:val="000974B7"/>
    <w:rsid w:val="00162C81"/>
    <w:rsid w:val="001C4553"/>
    <w:rsid w:val="00204A74"/>
    <w:rsid w:val="0025265A"/>
    <w:rsid w:val="00265E21"/>
    <w:rsid w:val="00352DA5"/>
    <w:rsid w:val="00391077"/>
    <w:rsid w:val="004679E1"/>
    <w:rsid w:val="00483C6B"/>
    <w:rsid w:val="004C7208"/>
    <w:rsid w:val="004D566B"/>
    <w:rsid w:val="005171AA"/>
    <w:rsid w:val="005A662A"/>
    <w:rsid w:val="005B0E8E"/>
    <w:rsid w:val="005F5B65"/>
    <w:rsid w:val="00611199"/>
    <w:rsid w:val="006F38C9"/>
    <w:rsid w:val="00702D22"/>
    <w:rsid w:val="007209E8"/>
    <w:rsid w:val="00723A94"/>
    <w:rsid w:val="00813569"/>
    <w:rsid w:val="00865685"/>
    <w:rsid w:val="00876A66"/>
    <w:rsid w:val="008A77FD"/>
    <w:rsid w:val="008E6CF0"/>
    <w:rsid w:val="008F1B3B"/>
    <w:rsid w:val="0090315C"/>
    <w:rsid w:val="00937316"/>
    <w:rsid w:val="009A2CBF"/>
    <w:rsid w:val="009F173A"/>
    <w:rsid w:val="00A46753"/>
    <w:rsid w:val="00A86264"/>
    <w:rsid w:val="00AC46B8"/>
    <w:rsid w:val="00AE2839"/>
    <w:rsid w:val="00B54A5E"/>
    <w:rsid w:val="00B6368C"/>
    <w:rsid w:val="00B83AB1"/>
    <w:rsid w:val="00BF0FA7"/>
    <w:rsid w:val="00C17AC3"/>
    <w:rsid w:val="00C47F3D"/>
    <w:rsid w:val="00CC253E"/>
    <w:rsid w:val="00CD5A4B"/>
    <w:rsid w:val="00D710B6"/>
    <w:rsid w:val="00D83448"/>
    <w:rsid w:val="00DA4238"/>
    <w:rsid w:val="00E36F31"/>
    <w:rsid w:val="00E634AB"/>
    <w:rsid w:val="00E93652"/>
    <w:rsid w:val="00EB5535"/>
    <w:rsid w:val="00EC104F"/>
    <w:rsid w:val="00EE5F74"/>
    <w:rsid w:val="00EF2F0B"/>
    <w:rsid w:val="00F47F7A"/>
    <w:rsid w:val="00F76A2D"/>
    <w:rsid w:val="00FE1140"/>
    <w:rsid w:val="00FF77DB"/>
    <w:rsid w:val="01347473"/>
    <w:rsid w:val="01D1523C"/>
    <w:rsid w:val="01F33B73"/>
    <w:rsid w:val="03200670"/>
    <w:rsid w:val="03430D4D"/>
    <w:rsid w:val="040668D4"/>
    <w:rsid w:val="06F62828"/>
    <w:rsid w:val="074D05E3"/>
    <w:rsid w:val="0AC77248"/>
    <w:rsid w:val="0CDD53E8"/>
    <w:rsid w:val="107376F0"/>
    <w:rsid w:val="149D0338"/>
    <w:rsid w:val="163711AE"/>
    <w:rsid w:val="16AD12AC"/>
    <w:rsid w:val="195B267B"/>
    <w:rsid w:val="1B2C4A96"/>
    <w:rsid w:val="1CB37B8D"/>
    <w:rsid w:val="1E0573C0"/>
    <w:rsid w:val="1E360434"/>
    <w:rsid w:val="1ED0096A"/>
    <w:rsid w:val="20281085"/>
    <w:rsid w:val="22F90D45"/>
    <w:rsid w:val="233829FD"/>
    <w:rsid w:val="24816088"/>
    <w:rsid w:val="24DE652B"/>
    <w:rsid w:val="2560149B"/>
    <w:rsid w:val="26392E69"/>
    <w:rsid w:val="2A151EE1"/>
    <w:rsid w:val="2B1F4703"/>
    <w:rsid w:val="2C876A38"/>
    <w:rsid w:val="2D2A3593"/>
    <w:rsid w:val="2F155F25"/>
    <w:rsid w:val="302B08A4"/>
    <w:rsid w:val="313D40D8"/>
    <w:rsid w:val="325E3F5A"/>
    <w:rsid w:val="3320038D"/>
    <w:rsid w:val="33B45D0C"/>
    <w:rsid w:val="33E859C6"/>
    <w:rsid w:val="374455F9"/>
    <w:rsid w:val="37AA34F2"/>
    <w:rsid w:val="380E028E"/>
    <w:rsid w:val="396829C6"/>
    <w:rsid w:val="3A791A5E"/>
    <w:rsid w:val="3CB93F9C"/>
    <w:rsid w:val="3D01496E"/>
    <w:rsid w:val="3D302E7C"/>
    <w:rsid w:val="40F34FBF"/>
    <w:rsid w:val="41765AC9"/>
    <w:rsid w:val="41BD2174"/>
    <w:rsid w:val="434150E2"/>
    <w:rsid w:val="44052D99"/>
    <w:rsid w:val="495E079C"/>
    <w:rsid w:val="4B431DA6"/>
    <w:rsid w:val="4C924C68"/>
    <w:rsid w:val="4CFA6A2E"/>
    <w:rsid w:val="4DDA564C"/>
    <w:rsid w:val="4DF23BA9"/>
    <w:rsid w:val="533A2287"/>
    <w:rsid w:val="53D756D4"/>
    <w:rsid w:val="5624384C"/>
    <w:rsid w:val="579F2C7D"/>
    <w:rsid w:val="5A3C1C4F"/>
    <w:rsid w:val="5C945018"/>
    <w:rsid w:val="5E2F0501"/>
    <w:rsid w:val="60A9582A"/>
    <w:rsid w:val="60BD3BA3"/>
    <w:rsid w:val="60FA75A6"/>
    <w:rsid w:val="6265219D"/>
    <w:rsid w:val="631D5142"/>
    <w:rsid w:val="63A949D9"/>
    <w:rsid w:val="67987117"/>
    <w:rsid w:val="68077DF9"/>
    <w:rsid w:val="6B514E55"/>
    <w:rsid w:val="6E9728C4"/>
    <w:rsid w:val="71A82628"/>
    <w:rsid w:val="749D5C82"/>
    <w:rsid w:val="75BA5762"/>
    <w:rsid w:val="76CD5D2D"/>
    <w:rsid w:val="77BA2298"/>
    <w:rsid w:val="77E4419A"/>
    <w:rsid w:val="7984574E"/>
    <w:rsid w:val="7A7E1761"/>
    <w:rsid w:val="7CDA37F3"/>
    <w:rsid w:val="7E84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iPriority="0" w:semiHidden="0" w:name="Body Text"/>
    <w:lsdException w:qFormat="1"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9"/>
    <w:pPr>
      <w:widowControl/>
      <w:numPr>
        <w:ilvl w:val="0"/>
        <w:numId w:val="1"/>
      </w:numPr>
      <w:jc w:val="left"/>
      <w:outlineLvl w:val="0"/>
    </w:pPr>
    <w:rPr>
      <w:rFonts w:ascii="宋体" w:hAnsi="宋体" w:cs="宋体"/>
      <w:b/>
      <w:bCs/>
      <w:kern w:val="36"/>
      <w:sz w:val="28"/>
      <w:szCs w:val="48"/>
    </w:rPr>
  </w:style>
  <w:style w:type="paragraph" w:styleId="3">
    <w:name w:val="heading 2"/>
    <w:basedOn w:val="1"/>
    <w:link w:val="31"/>
    <w:semiHidden/>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link w:val="32"/>
    <w:semiHidden/>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link w:val="33"/>
    <w:semiHidden/>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link w:val="34"/>
    <w:semiHidden/>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link w:val="35"/>
    <w:semiHidden/>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8">
    <w:name w:val="heading 7"/>
    <w:basedOn w:val="1"/>
    <w:link w:val="36"/>
    <w:semiHidden/>
    <w:unhideWhenUsed/>
    <w:qFormat/>
    <w:uiPriority w:val="0"/>
    <w:pPr>
      <w:keepNext/>
      <w:keepLines/>
      <w:numPr>
        <w:ilvl w:val="6"/>
        <w:numId w:val="1"/>
      </w:numPr>
      <w:spacing w:before="240" w:after="64" w:line="320" w:lineRule="auto"/>
      <w:outlineLvl w:val="6"/>
    </w:pPr>
    <w:rPr>
      <w:b/>
      <w:bCs/>
      <w:sz w:val="24"/>
    </w:rPr>
  </w:style>
  <w:style w:type="paragraph" w:styleId="9">
    <w:name w:val="heading 8"/>
    <w:basedOn w:val="1"/>
    <w:link w:val="37"/>
    <w:semiHidden/>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0">
    <w:name w:val="heading 9"/>
    <w:basedOn w:val="1"/>
    <w:link w:val="38"/>
    <w:semiHidden/>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w:basedOn w:val="1"/>
    <w:link w:val="39"/>
    <w:unhideWhenUsed/>
    <w:qFormat/>
    <w:uiPriority w:val="0"/>
    <w:pPr>
      <w:autoSpaceDE w:val="0"/>
      <w:autoSpaceDN w:val="0"/>
      <w:adjustRightInd w:val="0"/>
      <w:ind w:left="112"/>
      <w:jc w:val="left"/>
    </w:pPr>
    <w:rPr>
      <w:kern w:val="0"/>
      <w:sz w:val="20"/>
      <w:szCs w:val="20"/>
    </w:rPr>
  </w:style>
  <w:style w:type="paragraph" w:styleId="13">
    <w:name w:val="Body Text Indent"/>
    <w:basedOn w:val="1"/>
    <w:link w:val="40"/>
    <w:unhideWhenUsed/>
    <w:qFormat/>
    <w:uiPriority w:val="99"/>
    <w:pPr>
      <w:ind w:firstLine="560" w:firstLineChars="200"/>
    </w:pPr>
    <w:rPr>
      <w:sz w:val="28"/>
      <w:szCs w:val="20"/>
    </w:rPr>
  </w:style>
  <w:style w:type="paragraph" w:styleId="14">
    <w:name w:val="Balloon Text"/>
    <w:basedOn w:val="1"/>
    <w:link w:val="44"/>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qFormat/>
    <w:uiPriority w:val="0"/>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91"/>
    <w:qFormat/>
    <w:uiPriority w:val="0"/>
    <w:rPr>
      <w:rFonts w:hint="eastAsia" w:ascii="宋体" w:hAnsi="宋体" w:eastAsia="宋体" w:cs="宋体"/>
      <w:color w:val="000000"/>
      <w:sz w:val="20"/>
      <w:szCs w:val="20"/>
      <w:u w:val="none"/>
      <w:vertAlign w:val="superscript"/>
    </w:rPr>
  </w:style>
  <w:style w:type="character" w:customStyle="1" w:styleId="22">
    <w:name w:val="font71"/>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pPr>
      <w:jc w:val="left"/>
    </w:pPr>
    <w:rPr>
      <w:rFonts w:ascii="Calibri" w:hAnsi="Calibri"/>
      <w:kern w:val="0"/>
      <w:sz w:val="22"/>
      <w:szCs w:val="22"/>
      <w:lang w:eastAsia="en-US"/>
    </w:rPr>
  </w:style>
  <w:style w:type="character" w:customStyle="1" w:styleId="24">
    <w:name w:val="font21"/>
    <w:basedOn w:val="19"/>
    <w:qFormat/>
    <w:uiPriority w:val="0"/>
    <w:rPr>
      <w:rFonts w:hint="default" w:ascii="Arial" w:hAnsi="Arial" w:cs="Arial"/>
      <w:color w:val="000000"/>
      <w:sz w:val="10"/>
      <w:szCs w:val="10"/>
      <w:u w:val="none"/>
    </w:rPr>
  </w:style>
  <w:style w:type="character" w:customStyle="1" w:styleId="25">
    <w:name w:val="font101"/>
    <w:basedOn w:val="19"/>
    <w:qFormat/>
    <w:uiPriority w:val="0"/>
    <w:rPr>
      <w:rFonts w:hint="default" w:ascii="Arial" w:hAnsi="Arial" w:cs="Arial"/>
      <w:color w:val="000000"/>
      <w:sz w:val="10"/>
      <w:szCs w:val="10"/>
      <w:u w:val="none"/>
    </w:rPr>
  </w:style>
  <w:style w:type="character" w:customStyle="1" w:styleId="26">
    <w:name w:val="font112"/>
    <w:basedOn w:val="19"/>
    <w:qFormat/>
    <w:uiPriority w:val="0"/>
    <w:rPr>
      <w:rFonts w:hint="default" w:ascii="Arial" w:hAnsi="Arial" w:cs="Arial"/>
      <w:color w:val="000000"/>
      <w:sz w:val="13"/>
      <w:szCs w:val="13"/>
      <w:u w:val="none"/>
    </w:rPr>
  </w:style>
  <w:style w:type="character" w:customStyle="1" w:styleId="27">
    <w:name w:val="font51"/>
    <w:basedOn w:val="19"/>
    <w:qFormat/>
    <w:uiPriority w:val="0"/>
    <w:rPr>
      <w:rFonts w:hint="eastAsia" w:ascii="宋体" w:hAnsi="宋体" w:eastAsia="宋体" w:cs="宋体"/>
      <w:color w:val="000000"/>
      <w:sz w:val="13"/>
      <w:szCs w:val="13"/>
      <w:u w:val="none"/>
    </w:rPr>
  </w:style>
  <w:style w:type="character" w:customStyle="1" w:styleId="28">
    <w:name w:val="font121"/>
    <w:basedOn w:val="19"/>
    <w:qFormat/>
    <w:uiPriority w:val="0"/>
    <w:rPr>
      <w:rFonts w:hint="default" w:ascii="Arial" w:hAnsi="Arial" w:cs="Arial"/>
      <w:color w:val="000000"/>
      <w:sz w:val="14"/>
      <w:szCs w:val="14"/>
      <w:u w:val="none"/>
    </w:rPr>
  </w:style>
  <w:style w:type="character" w:customStyle="1" w:styleId="29">
    <w:name w:val="font01"/>
    <w:basedOn w:val="19"/>
    <w:qFormat/>
    <w:uiPriority w:val="0"/>
    <w:rPr>
      <w:rFonts w:hint="eastAsia" w:ascii="宋体" w:hAnsi="宋体" w:eastAsia="宋体" w:cs="宋体"/>
      <w:color w:val="000000"/>
      <w:sz w:val="12"/>
      <w:szCs w:val="12"/>
      <w:u w:val="none"/>
    </w:rPr>
  </w:style>
  <w:style w:type="character" w:customStyle="1" w:styleId="30">
    <w:name w:val="font131"/>
    <w:basedOn w:val="19"/>
    <w:qFormat/>
    <w:uiPriority w:val="0"/>
    <w:rPr>
      <w:rFonts w:hint="default" w:ascii="Arial" w:hAnsi="Arial" w:cs="Arial"/>
      <w:color w:val="000000"/>
      <w:sz w:val="12"/>
      <w:szCs w:val="12"/>
      <w:u w:val="none"/>
    </w:rPr>
  </w:style>
  <w:style w:type="character" w:customStyle="1" w:styleId="31">
    <w:name w:val="标题 2 Char"/>
    <w:basedOn w:val="19"/>
    <w:link w:val="3"/>
    <w:semiHidden/>
    <w:qFormat/>
    <w:uiPriority w:val="0"/>
    <w:rPr>
      <w:rFonts w:asciiTheme="majorHAnsi" w:hAnsiTheme="majorHAnsi" w:eastAsiaTheme="majorEastAsia" w:cstheme="majorBidi"/>
      <w:b/>
      <w:bCs/>
      <w:kern w:val="2"/>
      <w:sz w:val="32"/>
      <w:szCs w:val="32"/>
    </w:rPr>
  </w:style>
  <w:style w:type="character" w:customStyle="1" w:styleId="32">
    <w:name w:val="标题 3 Char"/>
    <w:basedOn w:val="19"/>
    <w:link w:val="4"/>
    <w:semiHidden/>
    <w:qFormat/>
    <w:uiPriority w:val="0"/>
    <w:rPr>
      <w:b/>
      <w:bCs/>
      <w:kern w:val="2"/>
      <w:sz w:val="32"/>
      <w:szCs w:val="32"/>
    </w:rPr>
  </w:style>
  <w:style w:type="character" w:customStyle="1" w:styleId="33">
    <w:name w:val="标题 4 Char"/>
    <w:basedOn w:val="19"/>
    <w:link w:val="5"/>
    <w:semiHidden/>
    <w:qFormat/>
    <w:uiPriority w:val="0"/>
    <w:rPr>
      <w:rFonts w:asciiTheme="majorHAnsi" w:hAnsiTheme="majorHAnsi" w:eastAsiaTheme="majorEastAsia" w:cstheme="majorBidi"/>
      <w:b/>
      <w:bCs/>
      <w:kern w:val="2"/>
      <w:sz w:val="28"/>
      <w:szCs w:val="28"/>
    </w:rPr>
  </w:style>
  <w:style w:type="character" w:customStyle="1" w:styleId="34">
    <w:name w:val="标题 5 Char"/>
    <w:basedOn w:val="19"/>
    <w:link w:val="6"/>
    <w:semiHidden/>
    <w:qFormat/>
    <w:uiPriority w:val="0"/>
    <w:rPr>
      <w:b/>
      <w:bCs/>
      <w:kern w:val="2"/>
      <w:sz w:val="28"/>
      <w:szCs w:val="28"/>
    </w:rPr>
  </w:style>
  <w:style w:type="character" w:customStyle="1" w:styleId="35">
    <w:name w:val="标题 6 Char"/>
    <w:basedOn w:val="19"/>
    <w:link w:val="7"/>
    <w:semiHidden/>
    <w:qFormat/>
    <w:uiPriority w:val="0"/>
    <w:rPr>
      <w:rFonts w:asciiTheme="majorHAnsi" w:hAnsiTheme="majorHAnsi" w:eastAsiaTheme="majorEastAsia" w:cstheme="majorBidi"/>
      <w:b/>
      <w:bCs/>
      <w:kern w:val="2"/>
      <w:sz w:val="24"/>
      <w:szCs w:val="24"/>
    </w:rPr>
  </w:style>
  <w:style w:type="character" w:customStyle="1" w:styleId="36">
    <w:name w:val="标题 7 Char"/>
    <w:basedOn w:val="19"/>
    <w:link w:val="8"/>
    <w:semiHidden/>
    <w:qFormat/>
    <w:uiPriority w:val="0"/>
    <w:rPr>
      <w:b/>
      <w:bCs/>
      <w:kern w:val="2"/>
      <w:sz w:val="24"/>
      <w:szCs w:val="24"/>
    </w:rPr>
  </w:style>
  <w:style w:type="character" w:customStyle="1" w:styleId="37">
    <w:name w:val="标题 8 Char"/>
    <w:basedOn w:val="19"/>
    <w:link w:val="9"/>
    <w:semiHidden/>
    <w:qFormat/>
    <w:uiPriority w:val="0"/>
    <w:rPr>
      <w:rFonts w:asciiTheme="majorHAnsi" w:hAnsiTheme="majorHAnsi" w:eastAsiaTheme="majorEastAsia" w:cstheme="majorBidi"/>
      <w:kern w:val="2"/>
      <w:sz w:val="24"/>
      <w:szCs w:val="24"/>
    </w:rPr>
  </w:style>
  <w:style w:type="character" w:customStyle="1" w:styleId="38">
    <w:name w:val="标题 9 Char"/>
    <w:basedOn w:val="19"/>
    <w:link w:val="10"/>
    <w:semiHidden/>
    <w:qFormat/>
    <w:uiPriority w:val="0"/>
    <w:rPr>
      <w:rFonts w:asciiTheme="majorHAnsi" w:hAnsiTheme="majorHAnsi" w:eastAsiaTheme="majorEastAsia" w:cstheme="majorBidi"/>
      <w:kern w:val="2"/>
      <w:sz w:val="21"/>
      <w:szCs w:val="21"/>
    </w:rPr>
  </w:style>
  <w:style w:type="character" w:customStyle="1" w:styleId="39">
    <w:name w:val="正文文本 Char"/>
    <w:basedOn w:val="19"/>
    <w:link w:val="12"/>
    <w:qFormat/>
    <w:uiPriority w:val="0"/>
  </w:style>
  <w:style w:type="character" w:customStyle="1" w:styleId="40">
    <w:name w:val="正文文本缩进 Char"/>
    <w:basedOn w:val="19"/>
    <w:link w:val="13"/>
    <w:qFormat/>
    <w:uiPriority w:val="99"/>
    <w:rPr>
      <w:kern w:val="2"/>
      <w:sz w:val="28"/>
    </w:rPr>
  </w:style>
  <w:style w:type="character" w:customStyle="1" w:styleId="41">
    <w:name w:val="正文文本 字符1"/>
    <w:basedOn w:val="19"/>
    <w:qFormat/>
    <w:uiPriority w:val="0"/>
    <w:rPr>
      <w:kern w:val="2"/>
      <w:sz w:val="21"/>
      <w:szCs w:val="24"/>
    </w:rPr>
  </w:style>
  <w:style w:type="paragraph" w:styleId="42">
    <w:name w:val="List Paragraph"/>
    <w:basedOn w:val="1"/>
    <w:qFormat/>
    <w:uiPriority w:val="99"/>
    <w:pPr>
      <w:ind w:firstLine="420" w:firstLineChars="200"/>
    </w:pPr>
  </w:style>
  <w:style w:type="character" w:customStyle="1" w:styleId="43">
    <w:name w:val="ccc"/>
    <w:basedOn w:val="19"/>
    <w:qFormat/>
    <w:uiPriority w:val="1"/>
    <w:rPr>
      <w:rFonts w:ascii="宋体" w:hAnsi="宋体"/>
      <w:sz w:val="24"/>
      <w:shd w:val="clear" w:color="auto" w:fill="F1F1F1" w:themeFill="background1" w:themeFillShade="F2"/>
    </w:rPr>
  </w:style>
  <w:style w:type="character" w:customStyle="1" w:styleId="44">
    <w:name w:val="批注框文本 Char"/>
    <w:basedOn w:val="19"/>
    <w:link w:val="1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3858</Words>
  <Characters>4019</Characters>
  <Lines>109</Lines>
  <Paragraphs>30</Paragraphs>
  <TotalTime>22</TotalTime>
  <ScaleCrop>false</ScaleCrop>
  <LinksUpToDate>false</LinksUpToDate>
  <CharactersWithSpaces>4060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2022-08-05T03:36:00Z</dcterms:created>
  <dc:creator>Administrator</dc:creator>
  <cp:lastModifiedBy>WPS_1762068319</cp:lastModifiedBy>
  <dcterms:modified xsi:type="dcterms:W3CDTF">2025-11-29T08:52:12Z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6F2852317C434642B68B2EE63DC0FA29_13</vt:lpwstr>
  </property>
  <property fmtid="{D5CDD505-2E9C-101B-9397-08002B2CF9AE}" pid="4" name="KSOTemplateDocerSaveRecord">
    <vt:lpwstr>eyJoZGlkIjoiZDg5NGU1MDQ4NTI0YmVhYzk3ZmQyMWFkYTcxYTkyYTIiLCJ1c2VySWQiOiIxNzY2NzA3Mjc2In0=</vt:lpwstr>
  </property>
</Properties>
</file>